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center"/>
        <w:rPr>
          <w:rFonts w:ascii="Times New Roman" w:hAnsi="Times New Roman" w:cs="Times New Roman"/>
          <w:sz w:val="24"/>
          <w:szCs w:val="24"/>
        </w:rPr>
      </w:pPr>
    </w:p>
    <w:p w:rsidR="00364202" w:rsidRDefault="009D655C" w:rsidP="00364202">
      <w:pPr>
        <w:spacing w:line="480" w:lineRule="auto"/>
        <w:jc w:val="center"/>
        <w:rPr>
          <w:rFonts w:ascii="Times New Roman" w:hAnsi="Times New Roman" w:cs="Times New Roman"/>
          <w:sz w:val="24"/>
          <w:szCs w:val="24"/>
        </w:rPr>
      </w:pPr>
      <w:r>
        <w:rPr>
          <w:rFonts w:ascii="Times New Roman" w:hAnsi="Times New Roman" w:cs="Times New Roman"/>
          <w:sz w:val="24"/>
          <w:szCs w:val="24"/>
        </w:rPr>
        <w:t>Trends in Higher Education</w:t>
      </w:r>
    </w:p>
    <w:p w:rsidR="00364202" w:rsidRDefault="00C914EF" w:rsidP="00364202">
      <w:pPr>
        <w:spacing w:line="480" w:lineRule="auto"/>
        <w:jc w:val="center"/>
        <w:rPr>
          <w:rFonts w:ascii="Times New Roman" w:hAnsi="Times New Roman" w:cs="Times New Roman"/>
          <w:sz w:val="24"/>
          <w:szCs w:val="24"/>
        </w:rPr>
      </w:pPr>
      <w:r>
        <w:rPr>
          <w:rFonts w:ascii="Times New Roman" w:hAnsi="Times New Roman" w:cs="Times New Roman"/>
          <w:sz w:val="24"/>
          <w:szCs w:val="24"/>
        </w:rPr>
        <w:t>Michael Mays</w:t>
      </w:r>
    </w:p>
    <w:p w:rsidR="00364202" w:rsidRDefault="00C914EF" w:rsidP="00364202">
      <w:pPr>
        <w:spacing w:line="480" w:lineRule="auto"/>
        <w:jc w:val="center"/>
        <w:rPr>
          <w:rFonts w:ascii="Times New Roman" w:hAnsi="Times New Roman" w:cs="Times New Roman"/>
          <w:sz w:val="24"/>
          <w:szCs w:val="24"/>
        </w:rPr>
      </w:pPr>
      <w:r>
        <w:rPr>
          <w:rFonts w:ascii="Times New Roman" w:hAnsi="Times New Roman" w:cs="Times New Roman"/>
          <w:sz w:val="24"/>
          <w:szCs w:val="24"/>
        </w:rPr>
        <w:t>UMUC</w:t>
      </w:r>
    </w:p>
    <w:p w:rsidR="00364202" w:rsidRDefault="00C914EF" w:rsidP="00364202">
      <w:pPr>
        <w:spacing w:line="480" w:lineRule="auto"/>
        <w:jc w:val="center"/>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364202" w:rsidRDefault="00C914EF" w:rsidP="00364202">
      <w:pPr>
        <w:spacing w:line="480" w:lineRule="auto"/>
        <w:jc w:val="both"/>
        <w:rPr>
          <w:rFonts w:ascii="Times New Roman" w:hAnsi="Times New Roman" w:cs="Times New Roman"/>
          <w:sz w:val="24"/>
          <w:szCs w:val="24"/>
        </w:rPr>
      </w:pPr>
    </w:p>
    <w:p w:rsidR="00894770"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lastRenderedPageBreak/>
        <w:t>Executive summary</w:t>
      </w:r>
    </w:p>
    <w:p w:rsidR="0078649B" w:rsidRPr="00364202" w:rsidRDefault="009D655C" w:rsidP="00364202">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In this report, I</w:t>
      </w:r>
      <w:r w:rsidR="006318A2">
        <w:rPr>
          <w:rFonts w:ascii="Times New Roman" w:hAnsi="Times New Roman" w:cs="Times New Roman"/>
          <w:sz w:val="24"/>
          <w:szCs w:val="24"/>
        </w:rPr>
        <w:t xml:space="preserve"> sought to</w:t>
      </w:r>
      <w:r w:rsidRPr="00364202">
        <w:rPr>
          <w:rFonts w:ascii="Times New Roman" w:hAnsi="Times New Roman" w:cs="Times New Roman"/>
          <w:sz w:val="24"/>
          <w:szCs w:val="24"/>
        </w:rPr>
        <w:t xml:space="preserve"> examine recent developments and trends in higher </w:t>
      </w:r>
      <w:r w:rsidR="006318A2">
        <w:rPr>
          <w:rFonts w:ascii="Times New Roman" w:hAnsi="Times New Roman" w:cs="Times New Roman"/>
          <w:sz w:val="24"/>
          <w:szCs w:val="24"/>
        </w:rPr>
        <w:t>education relating to</w:t>
      </w:r>
      <w:r w:rsidRPr="00364202">
        <w:rPr>
          <w:rFonts w:ascii="Times New Roman" w:hAnsi="Times New Roman" w:cs="Times New Roman"/>
          <w:sz w:val="24"/>
          <w:szCs w:val="24"/>
        </w:rPr>
        <w:t xml:space="preserve"> branding and marketing, and technology.</w:t>
      </w:r>
    </w:p>
    <w:p w:rsidR="0078649B"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The key findings were</w:t>
      </w:r>
      <w:proofErr w:type="gramStart"/>
      <w:r w:rsidRPr="00364202">
        <w:rPr>
          <w:rFonts w:ascii="Times New Roman" w:hAnsi="Times New Roman" w:cs="Times New Roman"/>
          <w:sz w:val="24"/>
          <w:szCs w:val="24"/>
        </w:rPr>
        <w:t>;</w:t>
      </w:r>
      <w:proofErr w:type="gramEnd"/>
    </w:p>
    <w:p w:rsidR="00C10F9B" w:rsidRDefault="009D655C" w:rsidP="00C10F9B">
      <w:pPr>
        <w:pStyle w:val="ListParagraph"/>
        <w:numPr>
          <w:ilvl w:val="0"/>
          <w:numId w:val="3"/>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Perhaps the most substantial part of growth and innovation in branding and marketing is in the digital and online space. However, there are some doubting that higher institutions are making use of technology to its maximum potential, mainly through social media and other budding platforms. A survey carried out recently by the University of Massachusetts Dartmouth revealed that almost 100 percent of the polled institution used different forms of social media as a tool for their promotion and overall operations</w:t>
      </w:r>
      <w:r w:rsidRPr="00C10F9B">
        <w:rPr>
          <w:rFonts w:ascii="Times New Roman" w:hAnsi="Times New Roman" w:cs="Times New Roman"/>
          <w:color w:val="222222"/>
          <w:sz w:val="24"/>
          <w:szCs w:val="24"/>
          <w:shd w:val="clear" w:color="auto" w:fill="FFFFFF"/>
        </w:rPr>
        <w:t xml:space="preserve"> (</w:t>
      </w:r>
      <w:r w:rsidRPr="00C10F9B">
        <w:rPr>
          <w:rFonts w:ascii="Times New Roman" w:hAnsi="Times New Roman" w:cs="Times New Roman"/>
          <w:sz w:val="24"/>
          <w:szCs w:val="24"/>
        </w:rPr>
        <w:t>Castle, &amp; McGuire, 2010).</w:t>
      </w:r>
    </w:p>
    <w:p w:rsidR="00C10F9B" w:rsidRDefault="009D655C" w:rsidP="00C10F9B">
      <w:pPr>
        <w:pStyle w:val="ListParagraph"/>
        <w:numPr>
          <w:ilvl w:val="0"/>
          <w:numId w:val="3"/>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One of the most prominent patterns in higher learning in marketing and branding is that more universities are embracing and dedicating more attention to these roles than in the past years. Numerous institutions have employed marketing experts from the corporate realm, and have invested significant money and time to establish strong brands of organizations.</w:t>
      </w:r>
    </w:p>
    <w:p w:rsidR="00C10F9B" w:rsidRDefault="006318A2" w:rsidP="00C10F9B">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Despite</w:t>
      </w:r>
      <w:r w:rsidR="009D655C" w:rsidRPr="00C10F9B">
        <w:rPr>
          <w:rFonts w:ascii="Times New Roman" w:hAnsi="Times New Roman" w:cs="Times New Roman"/>
          <w:sz w:val="24"/>
          <w:szCs w:val="24"/>
        </w:rPr>
        <w:t xml:space="preserve"> the increase in digital activity, a survey recently found that the most effective marketing strategies for higher institutions are on the other hand event-based and entail direct contact with prospective students.</w:t>
      </w:r>
    </w:p>
    <w:p w:rsidR="00C10F9B" w:rsidRDefault="009D655C" w:rsidP="00C10F9B">
      <w:pPr>
        <w:pStyle w:val="ListParagraph"/>
        <w:numPr>
          <w:ilvl w:val="0"/>
          <w:numId w:val="3"/>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 xml:space="preserve">Among the most vital tools for online and social marketing is an intuitive and efficient website, which should be regarded as the "crucial brand statement" for a university. Often, websites feature layouts and elements to enable highlight and </w:t>
      </w:r>
      <w:r w:rsidRPr="00C10F9B">
        <w:rPr>
          <w:rFonts w:ascii="Times New Roman" w:hAnsi="Times New Roman" w:cs="Times New Roman"/>
          <w:sz w:val="24"/>
          <w:szCs w:val="24"/>
        </w:rPr>
        <w:lastRenderedPageBreak/>
        <w:t>streamline content, including slideshows, a navigation bar that encourages potential students to apply, for instance.</w:t>
      </w:r>
    </w:p>
    <w:p w:rsidR="00C10F9B" w:rsidRDefault="009D655C" w:rsidP="00C10F9B">
      <w:pPr>
        <w:pStyle w:val="ListParagraph"/>
        <w:numPr>
          <w:ilvl w:val="0"/>
          <w:numId w:val="3"/>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 xml:space="preserve">Despite the popularity increase of online education, only a few top institutions possess vigorous online learning offerings outside of the regular ongoing education programs. From random samples of ten universities at top hundred </w:t>
      </w:r>
      <w:r w:rsidR="003A55C0">
        <w:rPr>
          <w:rFonts w:ascii="Times New Roman" w:hAnsi="Times New Roman" w:cs="Times New Roman"/>
          <w:sz w:val="24"/>
          <w:szCs w:val="24"/>
        </w:rPr>
        <w:t xml:space="preserve">on the </w:t>
      </w:r>
      <w:r w:rsidRPr="00C10F9B">
        <w:rPr>
          <w:rFonts w:ascii="Times New Roman" w:hAnsi="Times New Roman" w:cs="Times New Roman"/>
          <w:sz w:val="24"/>
          <w:szCs w:val="24"/>
        </w:rPr>
        <w:t>Academic Ranking of World Universities (ARWU) exposed that merely two out of the ten offered traditional courses online.</w:t>
      </w:r>
    </w:p>
    <w:p w:rsidR="001E4225" w:rsidRPr="00C10F9B" w:rsidRDefault="009D655C" w:rsidP="00C10F9B">
      <w:pPr>
        <w:pStyle w:val="ListParagraph"/>
        <w:numPr>
          <w:ilvl w:val="0"/>
          <w:numId w:val="3"/>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 xml:space="preserve">Newer methods of technology-enhanced and online course delivery, including </w:t>
      </w:r>
      <w:proofErr w:type="spellStart"/>
      <w:r w:rsidRPr="00C10F9B">
        <w:rPr>
          <w:rFonts w:ascii="Times New Roman" w:hAnsi="Times New Roman" w:cs="Times New Roman"/>
          <w:sz w:val="24"/>
          <w:szCs w:val="24"/>
        </w:rPr>
        <w:t>gamification</w:t>
      </w:r>
      <w:proofErr w:type="spellEnd"/>
      <w:r w:rsidRPr="00C10F9B">
        <w:rPr>
          <w:rFonts w:ascii="Times New Roman" w:hAnsi="Times New Roman" w:cs="Times New Roman"/>
          <w:sz w:val="24"/>
          <w:szCs w:val="24"/>
        </w:rPr>
        <w:t xml:space="preserve"> and "flipped classrooms," are revealing promising outcomes by students. Adaptive education technology has enjoyed significant student engagement interest, and currently, new technologies are under development by MIT, the Apollo Group, and Fujitsu.</w:t>
      </w:r>
    </w:p>
    <w:p w:rsidR="004754AE"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Introduction</w:t>
      </w:r>
    </w:p>
    <w:p w:rsidR="00117B62"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Trends in higher learning point to the emerging technologies that have been incorporated in various institutions. Due to the developments and application of trends in new technology in universities such as the use of websites for branding and marketing and online learning through </w:t>
      </w:r>
      <w:proofErr w:type="gramStart"/>
      <w:r w:rsidRPr="00364202">
        <w:rPr>
          <w:rFonts w:ascii="Times New Roman" w:hAnsi="Times New Roman" w:cs="Times New Roman"/>
          <w:sz w:val="24"/>
          <w:szCs w:val="24"/>
        </w:rPr>
        <w:t xml:space="preserve">( </w:t>
      </w:r>
      <w:proofErr w:type="spellStart"/>
      <w:r w:rsidRPr="00364202">
        <w:rPr>
          <w:rFonts w:ascii="Times New Roman" w:hAnsi="Times New Roman" w:cs="Times New Roman"/>
          <w:sz w:val="24"/>
          <w:szCs w:val="24"/>
        </w:rPr>
        <w:t>gamification</w:t>
      </w:r>
      <w:proofErr w:type="spellEnd"/>
      <w:proofErr w:type="gramEnd"/>
      <w:r w:rsidRPr="00364202">
        <w:rPr>
          <w:rFonts w:ascii="Times New Roman" w:hAnsi="Times New Roman" w:cs="Times New Roman"/>
          <w:sz w:val="24"/>
          <w:szCs w:val="24"/>
        </w:rPr>
        <w:t xml:space="preserve"> and adaptive learning ), has led to increase in enrollment of non-traditional and adult learners. According to the National Center for Education Statistics, in the recent</w:t>
      </w:r>
      <w:r w:rsidR="00C2092E">
        <w:rPr>
          <w:rFonts w:ascii="Times New Roman" w:hAnsi="Times New Roman" w:cs="Times New Roman"/>
          <w:sz w:val="24"/>
          <w:szCs w:val="24"/>
        </w:rPr>
        <w:t xml:space="preserve"> years</w:t>
      </w:r>
      <w:r w:rsidRPr="00364202">
        <w:rPr>
          <w:rFonts w:ascii="Times New Roman" w:hAnsi="Times New Roman" w:cs="Times New Roman"/>
          <w:sz w:val="24"/>
          <w:szCs w:val="24"/>
        </w:rPr>
        <w:t>, the increase in the percentage of students' number aged 25 and above has increased tremendously, and this pattern is anticipated to continue. By 2020, the enrollment percentage for students 25 and over is projected to swell by 20 percent over 2010 levels.</w:t>
      </w:r>
    </w:p>
    <w:p w:rsidR="00C10F9B" w:rsidRDefault="00C914EF" w:rsidP="00364202">
      <w:pPr>
        <w:spacing w:line="480" w:lineRule="auto"/>
        <w:jc w:val="both"/>
        <w:rPr>
          <w:rFonts w:ascii="Times New Roman" w:hAnsi="Times New Roman" w:cs="Times New Roman"/>
          <w:sz w:val="24"/>
          <w:szCs w:val="24"/>
        </w:rPr>
      </w:pPr>
    </w:p>
    <w:p w:rsidR="00DF7C7E"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lastRenderedPageBreak/>
        <w:t>Marketing and branding</w:t>
      </w:r>
    </w:p>
    <w:p w:rsidR="00DF7C7E"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As institutions find the need to appeal to</w:t>
      </w:r>
      <w:r w:rsidR="00C2092E">
        <w:rPr>
          <w:rFonts w:ascii="Times New Roman" w:hAnsi="Times New Roman" w:cs="Times New Roman"/>
          <w:sz w:val="24"/>
          <w:szCs w:val="24"/>
        </w:rPr>
        <w:t xml:space="preserve"> the</w:t>
      </w:r>
      <w:r w:rsidRPr="00364202">
        <w:rPr>
          <w:rFonts w:ascii="Times New Roman" w:hAnsi="Times New Roman" w:cs="Times New Roman"/>
          <w:sz w:val="24"/>
          <w:szCs w:val="24"/>
        </w:rPr>
        <w:t xml:space="preserve"> diverse and an ever-increasing student base, successful marketing and branding have increasingly become vital activities for universities. Therefore, Institutions must go to higher heights to differentiate themselves from their rivals’ universities. Successful branding can assist with enlarging </w:t>
      </w:r>
      <w:r w:rsidR="00C2092E">
        <w:rPr>
          <w:rFonts w:ascii="Times New Roman" w:hAnsi="Times New Roman" w:cs="Times New Roman"/>
          <w:sz w:val="24"/>
          <w:szCs w:val="24"/>
        </w:rPr>
        <w:t xml:space="preserve">the </w:t>
      </w:r>
      <w:r w:rsidRPr="00364202">
        <w:rPr>
          <w:rFonts w:ascii="Times New Roman" w:hAnsi="Times New Roman" w:cs="Times New Roman"/>
          <w:sz w:val="24"/>
          <w:szCs w:val="24"/>
        </w:rPr>
        <w:t>fundraising capabilities, increasing enrolment, and other outcomes.</w:t>
      </w:r>
    </w:p>
    <w:p w:rsidR="00AA1E7C"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Overall trends</w:t>
      </w:r>
    </w:p>
    <w:p w:rsidR="00B86A6E"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Traditional branding and marketing approaches, for instance, lowering admissions, is discussed in detail below.</w:t>
      </w:r>
    </w:p>
    <w:p w:rsidR="006926CC"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Previous approaches used the marketing strategy of lowering the admissions standard</w:t>
      </w:r>
      <w:r w:rsidR="00C2092E">
        <w:rPr>
          <w:rFonts w:ascii="Times New Roman" w:hAnsi="Times New Roman" w:cs="Times New Roman"/>
          <w:sz w:val="24"/>
          <w:szCs w:val="24"/>
        </w:rPr>
        <w:t>s</w:t>
      </w:r>
      <w:r w:rsidRPr="00364202">
        <w:rPr>
          <w:rFonts w:ascii="Times New Roman" w:hAnsi="Times New Roman" w:cs="Times New Roman"/>
          <w:sz w:val="24"/>
          <w:szCs w:val="24"/>
        </w:rPr>
        <w:t xml:space="preserve"> to boost their numbers. The effect of this method has both negative and positive impacts to an institution. Whereas the positive implications of reducing admission</w:t>
      </w:r>
      <w:r w:rsidR="00C2092E">
        <w:rPr>
          <w:rFonts w:ascii="Times New Roman" w:hAnsi="Times New Roman" w:cs="Times New Roman"/>
          <w:sz w:val="24"/>
          <w:szCs w:val="24"/>
        </w:rPr>
        <w:t>s</w:t>
      </w:r>
      <w:r w:rsidRPr="00364202">
        <w:rPr>
          <w:rFonts w:ascii="Times New Roman" w:hAnsi="Times New Roman" w:cs="Times New Roman"/>
          <w:sz w:val="24"/>
          <w:szCs w:val="24"/>
        </w:rPr>
        <w:t xml:space="preserve"> standards are likely to lead to an increase in admissions and thus higher numbers of enrollment, the net negative impacts are more significant.</w:t>
      </w:r>
    </w:p>
    <w:p w:rsidR="000C1E45"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An article from 2013 entitled “The Paradox of Increasing both Graduation and Enrollment Rates: Recognizing Elephants in the Ivory Tower,” discusses on this issue. It inspects the impacts of lowering standards for admissions affecting the reduction in funding by states and graduation rate</w:t>
      </w:r>
      <w:r w:rsidR="00C2092E">
        <w:rPr>
          <w:rFonts w:ascii="Times New Roman" w:hAnsi="Times New Roman" w:cs="Times New Roman"/>
          <w:sz w:val="24"/>
          <w:szCs w:val="24"/>
        </w:rPr>
        <w:t>s. In conclusion, the article, u</w:t>
      </w:r>
      <w:r w:rsidRPr="00364202">
        <w:rPr>
          <w:rFonts w:ascii="Times New Roman" w:hAnsi="Times New Roman" w:cs="Times New Roman"/>
          <w:sz w:val="24"/>
          <w:szCs w:val="24"/>
        </w:rPr>
        <w:t xml:space="preserve">tilizing evidence-based cases, states that there are various ways universities have changed the debate surrounding academic standards for new students so as not to appear having lower standards. According to the writer, </w:t>
      </w:r>
      <w:r w:rsidR="00C2092E">
        <w:rPr>
          <w:rFonts w:ascii="Times New Roman" w:hAnsi="Times New Roman" w:cs="Times New Roman"/>
          <w:sz w:val="24"/>
          <w:szCs w:val="24"/>
        </w:rPr>
        <w:t xml:space="preserve">it </w:t>
      </w:r>
      <w:r w:rsidRPr="00364202">
        <w:rPr>
          <w:rFonts w:ascii="Times New Roman" w:hAnsi="Times New Roman" w:cs="Times New Roman"/>
          <w:sz w:val="24"/>
          <w:szCs w:val="24"/>
        </w:rPr>
        <w:t xml:space="preserve">is a terrifying trend, and any institution expecting to increase enrolment numbers merely </w:t>
      </w:r>
      <w:r w:rsidR="00C2092E">
        <w:rPr>
          <w:rFonts w:ascii="Times New Roman" w:hAnsi="Times New Roman" w:cs="Times New Roman"/>
          <w:sz w:val="24"/>
          <w:szCs w:val="24"/>
        </w:rPr>
        <w:t xml:space="preserve">that </w:t>
      </w:r>
      <w:r w:rsidRPr="00364202">
        <w:rPr>
          <w:rFonts w:ascii="Times New Roman" w:hAnsi="Times New Roman" w:cs="Times New Roman"/>
          <w:sz w:val="24"/>
          <w:szCs w:val="24"/>
        </w:rPr>
        <w:t>should be their source of concern.</w:t>
      </w:r>
    </w:p>
    <w:p w:rsidR="00E1640B"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lastRenderedPageBreak/>
        <w:t>In several incidences, especially at Arizona State University, the suggestion is raised that using that traditio</w:t>
      </w:r>
      <w:r w:rsidR="00C2092E">
        <w:rPr>
          <w:rFonts w:ascii="Times New Roman" w:hAnsi="Times New Roman" w:cs="Times New Roman"/>
          <w:sz w:val="24"/>
          <w:szCs w:val="24"/>
        </w:rPr>
        <w:t xml:space="preserve">nal approach can easily cause </w:t>
      </w:r>
      <w:r w:rsidR="00C2092E" w:rsidRPr="00364202">
        <w:rPr>
          <w:rFonts w:ascii="Times New Roman" w:hAnsi="Times New Roman" w:cs="Times New Roman"/>
          <w:sz w:val="24"/>
          <w:szCs w:val="24"/>
        </w:rPr>
        <w:t>the</w:t>
      </w:r>
      <w:r w:rsidRPr="00364202">
        <w:rPr>
          <w:rFonts w:ascii="Times New Roman" w:hAnsi="Times New Roman" w:cs="Times New Roman"/>
          <w:sz w:val="24"/>
          <w:szCs w:val="24"/>
        </w:rPr>
        <w:t xml:space="preserve"> graduation rates</w:t>
      </w:r>
      <w:r w:rsidR="00C2092E">
        <w:rPr>
          <w:rFonts w:ascii="Times New Roman" w:hAnsi="Times New Roman" w:cs="Times New Roman"/>
          <w:sz w:val="24"/>
          <w:szCs w:val="24"/>
        </w:rPr>
        <w:t xml:space="preserve"> to be lower </w:t>
      </w:r>
      <w:r w:rsidRPr="00364202">
        <w:rPr>
          <w:rFonts w:ascii="Times New Roman" w:hAnsi="Times New Roman" w:cs="Times New Roman"/>
          <w:sz w:val="24"/>
          <w:szCs w:val="24"/>
        </w:rPr>
        <w:t>when compared to other institutions. Consequently, it will impact severely on the rankings, reputation and institutional profile, and a strain on resources that could otherwise serve students better in the long run. Another same argument was raised in the 2011 book</w:t>
      </w:r>
      <w:r w:rsidRPr="00364202">
        <w:rPr>
          <w:rFonts w:ascii="Times New Roman" w:hAnsi="Times New Roman" w:cs="Times New Roman"/>
          <w:i/>
          <w:sz w:val="24"/>
          <w:szCs w:val="24"/>
        </w:rPr>
        <w:t>: Uneducated Guesses: Using Evidence to Uncover Misguided Education Policies</w:t>
      </w:r>
      <w:r w:rsidRPr="00364202">
        <w:rPr>
          <w:rFonts w:ascii="Times New Roman" w:hAnsi="Times New Roman" w:cs="Times New Roman"/>
          <w:sz w:val="24"/>
          <w:szCs w:val="24"/>
        </w:rPr>
        <w:t>, which examines the links between institutions that made for new students optional standardized tests, and how that caused inflated national ranks and underperforming students for some universities (Wainer</w:t>
      </w:r>
      <w:proofErr w:type="gramStart"/>
      <w:r w:rsidRPr="00364202">
        <w:rPr>
          <w:rFonts w:ascii="Times New Roman" w:hAnsi="Times New Roman" w:cs="Times New Roman"/>
          <w:sz w:val="24"/>
          <w:szCs w:val="24"/>
        </w:rPr>
        <w:t>,2011</w:t>
      </w:r>
      <w:proofErr w:type="gramEnd"/>
      <w:r w:rsidRPr="00364202">
        <w:rPr>
          <w:rFonts w:ascii="Times New Roman" w:hAnsi="Times New Roman" w:cs="Times New Roman"/>
          <w:sz w:val="24"/>
          <w:szCs w:val="24"/>
        </w:rPr>
        <w:t>).</w:t>
      </w:r>
    </w:p>
    <w:p w:rsidR="006F1FF7"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Nevertheless, in these realms relaxing standards is not devoid of problems from the university admission perspective. Notably, some Chinese students have had issues</w:t>
      </w:r>
      <w:r w:rsidR="00C2092E">
        <w:rPr>
          <w:rFonts w:ascii="Times New Roman" w:hAnsi="Times New Roman" w:cs="Times New Roman"/>
          <w:sz w:val="24"/>
          <w:szCs w:val="24"/>
        </w:rPr>
        <w:t xml:space="preserve"> in U.S</w:t>
      </w:r>
      <w:r w:rsidRPr="00364202">
        <w:rPr>
          <w:rFonts w:ascii="Times New Roman" w:hAnsi="Times New Roman" w:cs="Times New Roman"/>
          <w:sz w:val="24"/>
          <w:szCs w:val="24"/>
        </w:rPr>
        <w:t xml:space="preserve"> with falsified credentials offered to students</w:t>
      </w:r>
      <w:r w:rsidR="007D1004">
        <w:rPr>
          <w:rFonts w:ascii="Times New Roman" w:hAnsi="Times New Roman" w:cs="Times New Roman"/>
          <w:sz w:val="24"/>
          <w:szCs w:val="24"/>
        </w:rPr>
        <w:t xml:space="preserve"> by crooks</w:t>
      </w:r>
      <w:r w:rsidRPr="00364202">
        <w:rPr>
          <w:rFonts w:ascii="Times New Roman" w:hAnsi="Times New Roman" w:cs="Times New Roman"/>
          <w:sz w:val="24"/>
          <w:szCs w:val="24"/>
        </w:rPr>
        <w:t>. The outcomes of such incidences are disheartening.</w:t>
      </w:r>
    </w:p>
    <w:p w:rsidR="00B86A6E"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Today, efficient brand management and strategic planning need more than the traditional marketing, advertising or identity development. Universities that create, present and control a unified brand environment, experience and message attain a competitive gain in building loyalty, recruiting, and retaining their donors, alumnae, staff, parents, faculty, and students. To successfully communicate a brand to students, both prospective and current, requires effective tools and strategic planning. This section will explore recent approaches in marketing and branding that are used in the higher learning industry. </w:t>
      </w:r>
    </w:p>
    <w:p w:rsidR="00C10F9B" w:rsidRDefault="00C914EF" w:rsidP="00C10F9B">
      <w:pPr>
        <w:spacing w:line="480" w:lineRule="auto"/>
        <w:ind w:firstLine="720"/>
        <w:jc w:val="both"/>
        <w:rPr>
          <w:rFonts w:ascii="Times New Roman" w:hAnsi="Times New Roman" w:cs="Times New Roman"/>
          <w:sz w:val="24"/>
          <w:szCs w:val="24"/>
        </w:rPr>
      </w:pPr>
    </w:p>
    <w:p w:rsidR="00C10F9B" w:rsidRDefault="00C914EF" w:rsidP="00C10F9B">
      <w:pPr>
        <w:spacing w:line="480" w:lineRule="auto"/>
        <w:ind w:firstLine="720"/>
        <w:jc w:val="both"/>
        <w:rPr>
          <w:rFonts w:ascii="Times New Roman" w:hAnsi="Times New Roman" w:cs="Times New Roman"/>
          <w:sz w:val="24"/>
          <w:szCs w:val="24"/>
        </w:rPr>
      </w:pPr>
    </w:p>
    <w:p w:rsidR="00C10F9B" w:rsidRDefault="00C914EF" w:rsidP="00C10F9B">
      <w:pPr>
        <w:spacing w:line="480" w:lineRule="auto"/>
        <w:ind w:firstLine="720"/>
        <w:jc w:val="both"/>
        <w:rPr>
          <w:rFonts w:ascii="Times New Roman" w:hAnsi="Times New Roman" w:cs="Times New Roman"/>
          <w:sz w:val="24"/>
          <w:szCs w:val="24"/>
        </w:rPr>
      </w:pPr>
    </w:p>
    <w:p w:rsidR="00AA1E7C"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lastRenderedPageBreak/>
        <w:t xml:space="preserve">As pointed out above, universities are focusing on marketing and branding far more than in the previous years. Many have employed marketing professional from the business world and invested money and time to establish powerful institutional brands. In some instances for example at Northwestern University in U.S, that has created the positions of Chief Marketing </w:t>
      </w:r>
      <w:proofErr w:type="gramStart"/>
      <w:r w:rsidRPr="00364202">
        <w:rPr>
          <w:rFonts w:ascii="Times New Roman" w:hAnsi="Times New Roman" w:cs="Times New Roman"/>
          <w:sz w:val="24"/>
          <w:szCs w:val="24"/>
        </w:rPr>
        <w:t>Officer(</w:t>
      </w:r>
      <w:proofErr w:type="gramEnd"/>
      <w:r w:rsidRPr="00364202">
        <w:rPr>
          <w:rFonts w:ascii="Times New Roman" w:hAnsi="Times New Roman" w:cs="Times New Roman"/>
          <w:sz w:val="24"/>
          <w:szCs w:val="24"/>
        </w:rPr>
        <w:t>CMO) and making marketing campaigns and brand creation a core role of the institution</w:t>
      </w:r>
      <w:r w:rsidRPr="00364202">
        <w:rPr>
          <w:rFonts w:ascii="Times New Roman" w:hAnsi="Times New Roman" w:cs="Times New Roman"/>
          <w:color w:val="222222"/>
          <w:sz w:val="24"/>
          <w:szCs w:val="24"/>
          <w:shd w:val="clear" w:color="auto" w:fill="FFFFFF"/>
        </w:rPr>
        <w:t xml:space="preserve"> (</w:t>
      </w:r>
      <w:proofErr w:type="spellStart"/>
      <w:r w:rsidRPr="00364202">
        <w:rPr>
          <w:rFonts w:ascii="Times New Roman" w:hAnsi="Times New Roman" w:cs="Times New Roman"/>
          <w:sz w:val="24"/>
          <w:szCs w:val="24"/>
        </w:rPr>
        <w:t>Kotler</w:t>
      </w:r>
      <w:proofErr w:type="spellEnd"/>
      <w:r w:rsidRPr="00364202">
        <w:rPr>
          <w:rFonts w:ascii="Times New Roman" w:hAnsi="Times New Roman" w:cs="Times New Roman"/>
          <w:sz w:val="24"/>
          <w:szCs w:val="24"/>
        </w:rPr>
        <w:t>, &amp; Armstrong,2010).</w:t>
      </w:r>
    </w:p>
    <w:p w:rsidR="00C720CC"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For some universities, this sort of corporate mentality and re-trained perspective has drawn rebuke as well as praise. For instance, Purdue University in 2010 spent a whopping half million dollars on branding campaign known as "Makers All" which was received poorly by alumni and students. However, there is proof that institutions do not need to spend a massive sum of money for them to be effective. </w:t>
      </w:r>
      <w:proofErr w:type="spellStart"/>
      <w:r w:rsidRPr="00364202">
        <w:rPr>
          <w:rFonts w:ascii="Times New Roman" w:hAnsi="Times New Roman" w:cs="Times New Roman"/>
          <w:sz w:val="24"/>
          <w:szCs w:val="24"/>
        </w:rPr>
        <w:t>Elliance</w:t>
      </w:r>
      <w:proofErr w:type="spellEnd"/>
      <w:r w:rsidRPr="00364202">
        <w:rPr>
          <w:rFonts w:ascii="Times New Roman" w:hAnsi="Times New Roman" w:cs="Times New Roman"/>
          <w:sz w:val="24"/>
          <w:szCs w:val="24"/>
        </w:rPr>
        <w:t xml:space="preserve"> and in collaboration with other key industry experts identified various top trends from 2013, and most of these marketing and branding approaches are feasible for most universities and colleges. Unsurprisingly, they are slowly focused on technology use.</w:t>
      </w:r>
    </w:p>
    <w:p w:rsidR="00C10F9B" w:rsidRDefault="009D655C" w:rsidP="00C10F9B">
      <w:pPr>
        <w:pStyle w:val="ListParagraph"/>
        <w:numPr>
          <w:ilvl w:val="0"/>
          <w:numId w:val="2"/>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t xml:space="preserve">Use of the web analytics: Universities and colleges are depending on data-driven analytics to verify where who, and how they are reaching </w:t>
      </w:r>
      <w:proofErr w:type="gramStart"/>
      <w:r w:rsidRPr="00C10F9B">
        <w:rPr>
          <w:rFonts w:ascii="Times New Roman" w:hAnsi="Times New Roman" w:cs="Times New Roman"/>
          <w:sz w:val="24"/>
          <w:szCs w:val="24"/>
        </w:rPr>
        <w:t>their</w:t>
      </w:r>
      <w:proofErr w:type="gramEnd"/>
      <w:r w:rsidRPr="00C10F9B">
        <w:rPr>
          <w:rFonts w:ascii="Times New Roman" w:hAnsi="Times New Roman" w:cs="Times New Roman"/>
          <w:sz w:val="24"/>
          <w:szCs w:val="24"/>
        </w:rPr>
        <w:t xml:space="preserve"> intended audiences. The analytics software use is increasing as the higher education system is increasingly becoming complex, and the amount of the materials institutions have online are expanding (</w:t>
      </w:r>
      <w:r w:rsidR="00580299" w:rsidRPr="00C10F9B">
        <w:rPr>
          <w:rFonts w:ascii="Times New Roman" w:hAnsi="Times New Roman" w:cs="Times New Roman"/>
          <w:sz w:val="24"/>
          <w:szCs w:val="24"/>
        </w:rPr>
        <w:t>sub domains</w:t>
      </w:r>
      <w:r w:rsidRPr="00C10F9B">
        <w:rPr>
          <w:rFonts w:ascii="Times New Roman" w:hAnsi="Times New Roman" w:cs="Times New Roman"/>
          <w:sz w:val="24"/>
          <w:szCs w:val="24"/>
        </w:rPr>
        <w:t>, domains, etc.)</w:t>
      </w:r>
      <w:proofErr w:type="gramStart"/>
      <w:r w:rsidRPr="00C10F9B">
        <w:rPr>
          <w:rFonts w:ascii="Times New Roman" w:hAnsi="Times New Roman" w:cs="Times New Roman"/>
          <w:sz w:val="24"/>
          <w:szCs w:val="24"/>
        </w:rPr>
        <w:t>.</w:t>
      </w:r>
      <w:proofErr w:type="gramEnd"/>
      <w:r w:rsidRPr="00C10F9B">
        <w:rPr>
          <w:rFonts w:ascii="Times New Roman" w:hAnsi="Times New Roman" w:cs="Times New Roman"/>
          <w:sz w:val="24"/>
          <w:szCs w:val="24"/>
        </w:rPr>
        <w:t>To get a better grasp of this information is a new area of intense concentration for universities and colleges.</w:t>
      </w:r>
    </w:p>
    <w:p w:rsidR="00C10F9B" w:rsidRDefault="00C914EF" w:rsidP="00C10F9B">
      <w:pPr>
        <w:pStyle w:val="ListParagraph"/>
        <w:spacing w:line="480" w:lineRule="auto"/>
        <w:ind w:left="1440"/>
        <w:jc w:val="both"/>
        <w:rPr>
          <w:rFonts w:ascii="Times New Roman" w:hAnsi="Times New Roman" w:cs="Times New Roman"/>
          <w:sz w:val="24"/>
          <w:szCs w:val="24"/>
        </w:rPr>
      </w:pPr>
    </w:p>
    <w:p w:rsidR="00FB041C" w:rsidRPr="00C10F9B" w:rsidRDefault="009D655C" w:rsidP="00C10F9B">
      <w:pPr>
        <w:pStyle w:val="ListParagraph"/>
        <w:numPr>
          <w:ilvl w:val="0"/>
          <w:numId w:val="2"/>
        </w:numPr>
        <w:spacing w:line="480" w:lineRule="auto"/>
        <w:jc w:val="both"/>
        <w:rPr>
          <w:rFonts w:ascii="Times New Roman" w:hAnsi="Times New Roman" w:cs="Times New Roman"/>
          <w:sz w:val="24"/>
          <w:szCs w:val="24"/>
        </w:rPr>
      </w:pPr>
      <w:r w:rsidRPr="00C10F9B">
        <w:rPr>
          <w:rFonts w:ascii="Times New Roman" w:hAnsi="Times New Roman" w:cs="Times New Roman"/>
          <w:sz w:val="24"/>
          <w:szCs w:val="24"/>
        </w:rPr>
        <w:lastRenderedPageBreak/>
        <w:t xml:space="preserve">Mobile development: Alongside the rise of connected devices and mobile technology, universities and colleges are investing substantially in possessing a mobile </w:t>
      </w:r>
      <w:r w:rsidR="003A55C0" w:rsidRPr="00C10F9B">
        <w:rPr>
          <w:rFonts w:ascii="Times New Roman" w:hAnsi="Times New Roman" w:cs="Times New Roman"/>
          <w:sz w:val="24"/>
          <w:szCs w:val="24"/>
        </w:rPr>
        <w:t>presence. It</w:t>
      </w:r>
      <w:r w:rsidRPr="00C10F9B">
        <w:rPr>
          <w:rFonts w:ascii="Times New Roman" w:hAnsi="Times New Roman" w:cs="Times New Roman"/>
          <w:sz w:val="24"/>
          <w:szCs w:val="24"/>
        </w:rPr>
        <w:t xml:space="preserve"> doesn't include only cellular contents and websites, but also creating more of classes' materials mobile-friendly.</w:t>
      </w:r>
    </w:p>
    <w:p w:rsidR="00FD36D2"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Beyond the technological changes, branding and marketing have shown a growing dependence on more innovative outreach efforts, as well as advertising and design campaigns. Nevertheless, others are more </w:t>
      </w:r>
      <w:proofErr w:type="gramStart"/>
      <w:r w:rsidRPr="00364202">
        <w:rPr>
          <w:rFonts w:ascii="Times New Roman" w:hAnsi="Times New Roman" w:cs="Times New Roman"/>
          <w:sz w:val="24"/>
          <w:szCs w:val="24"/>
        </w:rPr>
        <w:t>artistically-oriented</w:t>
      </w:r>
      <w:proofErr w:type="gramEnd"/>
      <w:r w:rsidRPr="00364202">
        <w:rPr>
          <w:rFonts w:ascii="Times New Roman" w:hAnsi="Times New Roman" w:cs="Times New Roman"/>
          <w:sz w:val="24"/>
          <w:szCs w:val="24"/>
        </w:rPr>
        <w:t xml:space="preserve">, but most attempts are made to appeal personally to the students with interests in higher education. The examples contain; making innovative advertising </w:t>
      </w:r>
      <w:proofErr w:type="gramStart"/>
      <w:r w:rsidRPr="00364202">
        <w:rPr>
          <w:rFonts w:ascii="Times New Roman" w:hAnsi="Times New Roman" w:cs="Times New Roman"/>
          <w:sz w:val="24"/>
          <w:szCs w:val="24"/>
        </w:rPr>
        <w:t>videos(</w:t>
      </w:r>
      <w:proofErr w:type="gramEnd"/>
      <w:r w:rsidRPr="00364202">
        <w:rPr>
          <w:rFonts w:ascii="Times New Roman" w:hAnsi="Times New Roman" w:cs="Times New Roman"/>
          <w:sz w:val="24"/>
          <w:szCs w:val="24"/>
        </w:rPr>
        <w:t xml:space="preserve">with the viral intent), QR codes (Smartphone interaction) placing in public places, </w:t>
      </w:r>
      <w:r w:rsidR="003A55C0" w:rsidRPr="00364202">
        <w:rPr>
          <w:rFonts w:ascii="Times New Roman" w:hAnsi="Times New Roman" w:cs="Times New Roman"/>
          <w:sz w:val="24"/>
          <w:szCs w:val="24"/>
        </w:rPr>
        <w:t>crowd sourcing</w:t>
      </w:r>
      <w:r w:rsidRPr="00364202">
        <w:rPr>
          <w:rFonts w:ascii="Times New Roman" w:hAnsi="Times New Roman" w:cs="Times New Roman"/>
          <w:sz w:val="24"/>
          <w:szCs w:val="24"/>
        </w:rPr>
        <w:t xml:space="preserve"> videos and photos to share campus moments, and improving housing and other amenities to lure students.</w:t>
      </w:r>
    </w:p>
    <w:p w:rsidR="00AF13C3"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Technology and Higher learning</w:t>
      </w:r>
    </w:p>
    <w:p w:rsidR="00AF13C3" w:rsidRPr="00364202" w:rsidRDefault="009D655C" w:rsidP="00C10F9B">
      <w:pPr>
        <w:spacing w:line="480" w:lineRule="auto"/>
        <w:rPr>
          <w:rFonts w:ascii="Times New Roman" w:hAnsi="Times New Roman" w:cs="Times New Roman"/>
          <w:sz w:val="24"/>
          <w:szCs w:val="24"/>
        </w:rPr>
      </w:pPr>
      <w:r w:rsidRPr="00364202">
        <w:rPr>
          <w:rFonts w:ascii="Times New Roman" w:hAnsi="Times New Roman" w:cs="Times New Roman"/>
          <w:sz w:val="24"/>
          <w:szCs w:val="24"/>
        </w:rPr>
        <w:t>Online learning</w:t>
      </w:r>
    </w:p>
    <w:p w:rsidR="00AF13C3"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Over the years online education has developed to such an extent that as a platform for worldwide branding and method of teaching, compared to the previous years’ approaches. Furthermore, institution policies for how to fit into place with these adjustments have considerably evolved, given how universities and colleges globally have reacted to some of the modern advancements in online education. Changing trends in learning technology are therefore</w:t>
      </w:r>
      <w:r w:rsidR="007D1004">
        <w:rPr>
          <w:rFonts w:ascii="Times New Roman" w:hAnsi="Times New Roman" w:cs="Times New Roman"/>
          <w:sz w:val="24"/>
          <w:szCs w:val="24"/>
        </w:rPr>
        <w:t>,</w:t>
      </w:r>
      <w:r w:rsidRPr="00364202">
        <w:rPr>
          <w:rFonts w:ascii="Times New Roman" w:hAnsi="Times New Roman" w:cs="Times New Roman"/>
          <w:sz w:val="24"/>
          <w:szCs w:val="24"/>
        </w:rPr>
        <w:t xml:space="preserve"> the driving force behind many of the several educational strategies that universities now introduce. That includes the various use of technology in teaching (such as </w:t>
      </w:r>
      <w:proofErr w:type="spellStart"/>
      <w:r w:rsidRPr="00364202">
        <w:rPr>
          <w:rFonts w:ascii="Times New Roman" w:hAnsi="Times New Roman" w:cs="Times New Roman"/>
          <w:sz w:val="24"/>
          <w:szCs w:val="24"/>
        </w:rPr>
        <w:t>gamification</w:t>
      </w:r>
      <w:proofErr w:type="spellEnd"/>
      <w:r w:rsidRPr="00364202">
        <w:rPr>
          <w:rFonts w:ascii="Times New Roman" w:hAnsi="Times New Roman" w:cs="Times New Roman"/>
          <w:sz w:val="24"/>
          <w:szCs w:val="24"/>
        </w:rPr>
        <w:t xml:space="preserve"> of courses and use of adaptive learning).</w:t>
      </w:r>
    </w:p>
    <w:p w:rsidR="00C10F9B" w:rsidRDefault="00C914EF" w:rsidP="00364202">
      <w:pPr>
        <w:spacing w:line="480" w:lineRule="auto"/>
        <w:jc w:val="both"/>
        <w:rPr>
          <w:rFonts w:ascii="Times New Roman" w:hAnsi="Times New Roman" w:cs="Times New Roman"/>
          <w:sz w:val="24"/>
          <w:szCs w:val="24"/>
        </w:rPr>
      </w:pPr>
    </w:p>
    <w:p w:rsidR="00801337" w:rsidRPr="00364202" w:rsidRDefault="009D655C" w:rsidP="00364202">
      <w:pPr>
        <w:spacing w:line="480" w:lineRule="auto"/>
        <w:jc w:val="both"/>
        <w:rPr>
          <w:rFonts w:ascii="Times New Roman" w:hAnsi="Times New Roman" w:cs="Times New Roman"/>
          <w:sz w:val="24"/>
          <w:szCs w:val="24"/>
        </w:rPr>
      </w:pPr>
      <w:proofErr w:type="spellStart"/>
      <w:r w:rsidRPr="00364202">
        <w:rPr>
          <w:rFonts w:ascii="Times New Roman" w:hAnsi="Times New Roman" w:cs="Times New Roman"/>
          <w:sz w:val="24"/>
          <w:szCs w:val="24"/>
        </w:rPr>
        <w:lastRenderedPageBreak/>
        <w:t>Gamification</w:t>
      </w:r>
      <w:proofErr w:type="spellEnd"/>
    </w:p>
    <w:p w:rsidR="00801337"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In the last decade (and even within the previous two years), some learning management changes go beyond mere integration of Web 2.0, and it is an example of platforms that institutions hope help boost enrolment. Hence, the trend of introducing game-based education platforms and "social learning" forms, as presented by </w:t>
      </w:r>
      <w:proofErr w:type="spellStart"/>
      <w:r w:rsidRPr="00364202">
        <w:rPr>
          <w:rFonts w:ascii="Times New Roman" w:hAnsi="Times New Roman" w:cs="Times New Roman"/>
          <w:sz w:val="24"/>
          <w:szCs w:val="24"/>
        </w:rPr>
        <w:t>Curatr</w:t>
      </w:r>
      <w:proofErr w:type="spellEnd"/>
      <w:r w:rsidRPr="00364202">
        <w:rPr>
          <w:rFonts w:ascii="Times New Roman" w:hAnsi="Times New Roman" w:cs="Times New Roman"/>
          <w:sz w:val="24"/>
          <w:szCs w:val="24"/>
        </w:rPr>
        <w:t xml:space="preserve"> and other companies. </w:t>
      </w:r>
      <w:proofErr w:type="spellStart"/>
      <w:r w:rsidRPr="00364202">
        <w:rPr>
          <w:rFonts w:ascii="Times New Roman" w:hAnsi="Times New Roman" w:cs="Times New Roman"/>
          <w:sz w:val="24"/>
          <w:szCs w:val="24"/>
        </w:rPr>
        <w:t>Gamification</w:t>
      </w:r>
      <w:proofErr w:type="spellEnd"/>
      <w:r w:rsidRPr="00364202">
        <w:rPr>
          <w:rFonts w:ascii="Times New Roman" w:hAnsi="Times New Roman" w:cs="Times New Roman"/>
          <w:sz w:val="24"/>
          <w:szCs w:val="24"/>
        </w:rPr>
        <w:t xml:space="preserve"> is an example of a much more form of "engaged" eLearning, and it borrows from experiences and concepts seen in the culture of gaming video; more so, those underpinned by the majority of 21</w:t>
      </w:r>
      <w:r w:rsidRPr="00364202">
        <w:rPr>
          <w:rFonts w:ascii="Times New Roman" w:hAnsi="Times New Roman" w:cs="Times New Roman"/>
          <w:sz w:val="24"/>
          <w:szCs w:val="24"/>
          <w:vertAlign w:val="superscript"/>
        </w:rPr>
        <w:t>st</w:t>
      </w:r>
      <w:r w:rsidRPr="00364202">
        <w:rPr>
          <w:rFonts w:ascii="Times New Roman" w:hAnsi="Times New Roman" w:cs="Times New Roman"/>
          <w:sz w:val="24"/>
          <w:szCs w:val="24"/>
        </w:rPr>
        <w:t xml:space="preserve"> Century interaction through the use of social media. The idea is that these current generations of students have undergone a distinct</w:t>
      </w:r>
      <w:bookmarkStart w:id="0" w:name="_GoBack"/>
      <w:bookmarkEnd w:id="0"/>
      <w:r w:rsidRPr="00364202">
        <w:rPr>
          <w:rFonts w:ascii="Times New Roman" w:hAnsi="Times New Roman" w:cs="Times New Roman"/>
          <w:sz w:val="24"/>
          <w:szCs w:val="24"/>
        </w:rPr>
        <w:t xml:space="preserve"> development in neurology than the previous generations, and this is mainly due to the result of being born in an era of technology-centric learning surroundings</w:t>
      </w:r>
      <w:r w:rsidRPr="00364202">
        <w:rPr>
          <w:rFonts w:ascii="Times New Roman" w:hAnsi="Times New Roman" w:cs="Times New Roman"/>
          <w:color w:val="222222"/>
          <w:sz w:val="24"/>
          <w:szCs w:val="24"/>
          <w:shd w:val="clear" w:color="auto" w:fill="FFFFFF"/>
        </w:rPr>
        <w:t xml:space="preserve"> (</w:t>
      </w:r>
      <w:proofErr w:type="spellStart"/>
      <w:r w:rsidRPr="00364202">
        <w:rPr>
          <w:rFonts w:ascii="Times New Roman" w:hAnsi="Times New Roman" w:cs="Times New Roman"/>
          <w:sz w:val="24"/>
          <w:szCs w:val="24"/>
        </w:rPr>
        <w:t>Kapp</w:t>
      </w:r>
      <w:proofErr w:type="spellEnd"/>
      <w:r w:rsidRPr="00364202">
        <w:rPr>
          <w:rFonts w:ascii="Times New Roman" w:hAnsi="Times New Roman" w:cs="Times New Roman"/>
          <w:sz w:val="24"/>
          <w:szCs w:val="24"/>
        </w:rPr>
        <w:t xml:space="preserve">, 2012). </w:t>
      </w:r>
    </w:p>
    <w:p w:rsidR="00563438" w:rsidRPr="00364202" w:rsidRDefault="009D655C" w:rsidP="00C10F9B">
      <w:pPr>
        <w:spacing w:line="480" w:lineRule="auto"/>
        <w:ind w:firstLine="360"/>
        <w:jc w:val="both"/>
        <w:rPr>
          <w:rFonts w:ascii="Times New Roman" w:hAnsi="Times New Roman" w:cs="Times New Roman"/>
          <w:sz w:val="24"/>
          <w:szCs w:val="24"/>
        </w:rPr>
      </w:pPr>
      <w:r w:rsidRPr="00364202">
        <w:rPr>
          <w:rFonts w:ascii="Times New Roman" w:hAnsi="Times New Roman" w:cs="Times New Roman"/>
          <w:sz w:val="24"/>
          <w:szCs w:val="24"/>
        </w:rPr>
        <w:t>Studies have shown various areas where the positive impact of gaming has on learning more generally:</w:t>
      </w:r>
    </w:p>
    <w:p w:rsidR="00BE2603" w:rsidRPr="00364202" w:rsidRDefault="009D655C" w:rsidP="00364202">
      <w:pPr>
        <w:pStyle w:val="ListParagraph"/>
        <w:numPr>
          <w:ilvl w:val="0"/>
          <w:numId w:val="1"/>
        </w:num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Help learners be engaged in learning environments</w:t>
      </w:r>
    </w:p>
    <w:p w:rsidR="00BE2603" w:rsidRPr="00364202" w:rsidRDefault="009D655C" w:rsidP="00364202">
      <w:pPr>
        <w:pStyle w:val="ListParagraph"/>
        <w:numPr>
          <w:ilvl w:val="0"/>
          <w:numId w:val="1"/>
        </w:num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Motivation increase</w:t>
      </w:r>
    </w:p>
    <w:p w:rsidR="00BE2603" w:rsidRPr="00364202" w:rsidRDefault="009D655C" w:rsidP="00364202">
      <w:pPr>
        <w:pStyle w:val="ListParagraph"/>
        <w:numPr>
          <w:ilvl w:val="0"/>
          <w:numId w:val="1"/>
        </w:num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Intensifying information retention</w:t>
      </w:r>
    </w:p>
    <w:p w:rsidR="00563438" w:rsidRPr="00364202" w:rsidRDefault="009D655C" w:rsidP="00364202">
      <w:pPr>
        <w:pStyle w:val="ListParagraph"/>
        <w:numPr>
          <w:ilvl w:val="0"/>
          <w:numId w:val="1"/>
        </w:num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t xml:space="preserve">Enhancing problem-solving skills </w:t>
      </w:r>
    </w:p>
    <w:p w:rsidR="00563438" w:rsidRPr="00364202" w:rsidRDefault="009D655C" w:rsidP="00C10F9B">
      <w:pPr>
        <w:spacing w:line="480" w:lineRule="auto"/>
        <w:ind w:firstLine="360"/>
        <w:jc w:val="both"/>
        <w:rPr>
          <w:rFonts w:ascii="Times New Roman" w:hAnsi="Times New Roman" w:cs="Times New Roman"/>
          <w:sz w:val="24"/>
          <w:szCs w:val="24"/>
        </w:rPr>
      </w:pPr>
      <w:r w:rsidRPr="00364202">
        <w:rPr>
          <w:rFonts w:ascii="Times New Roman" w:hAnsi="Times New Roman" w:cs="Times New Roman"/>
          <w:sz w:val="24"/>
          <w:szCs w:val="24"/>
        </w:rPr>
        <w:t xml:space="preserve">As a model for education in an online higher learning environment, </w:t>
      </w:r>
      <w:proofErr w:type="spellStart"/>
      <w:r w:rsidRPr="00364202">
        <w:rPr>
          <w:rFonts w:ascii="Times New Roman" w:hAnsi="Times New Roman" w:cs="Times New Roman"/>
          <w:sz w:val="24"/>
          <w:szCs w:val="24"/>
        </w:rPr>
        <w:t>gamified</w:t>
      </w:r>
      <w:proofErr w:type="spellEnd"/>
      <w:r w:rsidRPr="00364202">
        <w:rPr>
          <w:rFonts w:ascii="Times New Roman" w:hAnsi="Times New Roman" w:cs="Times New Roman"/>
          <w:sz w:val="24"/>
          <w:szCs w:val="24"/>
        </w:rPr>
        <w:t xml:space="preserve"> or game-based learning include a much more critical level of interaction from students than from previous approaches to passive activities for example message boards.</w:t>
      </w:r>
    </w:p>
    <w:p w:rsidR="00C10F9B" w:rsidRDefault="00C914EF" w:rsidP="00364202">
      <w:pPr>
        <w:spacing w:line="480" w:lineRule="auto"/>
        <w:jc w:val="both"/>
        <w:rPr>
          <w:rFonts w:ascii="Times New Roman" w:hAnsi="Times New Roman" w:cs="Times New Roman"/>
          <w:sz w:val="24"/>
          <w:szCs w:val="24"/>
        </w:rPr>
      </w:pPr>
    </w:p>
    <w:p w:rsidR="00C75990"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lastRenderedPageBreak/>
        <w:t>Adaptive learning</w:t>
      </w:r>
    </w:p>
    <w:p w:rsidR="00C75990"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Also more recently, very creative work has emanated from the unlikely partnership between the Massachusetts Institute of Technology and Fujitsu. In the mid-2013, the two publicized that they both </w:t>
      </w:r>
      <w:r w:rsidR="007D1004">
        <w:rPr>
          <w:rFonts w:ascii="Times New Roman" w:hAnsi="Times New Roman" w:cs="Times New Roman"/>
          <w:sz w:val="24"/>
          <w:szCs w:val="24"/>
        </w:rPr>
        <w:t xml:space="preserve">had </w:t>
      </w:r>
      <w:r w:rsidRPr="00364202">
        <w:rPr>
          <w:rFonts w:ascii="Times New Roman" w:hAnsi="Times New Roman" w:cs="Times New Roman"/>
          <w:sz w:val="24"/>
          <w:szCs w:val="24"/>
        </w:rPr>
        <w:t>worked on a new adap</w:t>
      </w:r>
      <w:r w:rsidR="007D1004">
        <w:rPr>
          <w:rFonts w:ascii="Times New Roman" w:hAnsi="Times New Roman" w:cs="Times New Roman"/>
          <w:sz w:val="24"/>
          <w:szCs w:val="24"/>
        </w:rPr>
        <w:t xml:space="preserve">tive eLearning platform, with </w:t>
      </w:r>
      <w:r w:rsidR="00F9524F">
        <w:rPr>
          <w:rFonts w:ascii="Times New Roman" w:hAnsi="Times New Roman" w:cs="Times New Roman"/>
          <w:sz w:val="24"/>
          <w:szCs w:val="24"/>
        </w:rPr>
        <w:t>the expectations</w:t>
      </w:r>
      <w:r w:rsidRPr="00364202">
        <w:rPr>
          <w:rFonts w:ascii="Times New Roman" w:hAnsi="Times New Roman" w:cs="Times New Roman"/>
          <w:sz w:val="24"/>
          <w:szCs w:val="24"/>
        </w:rPr>
        <w:t xml:space="preserve"> to introduce an online learning platform that is</w:t>
      </w:r>
      <w:r w:rsidR="007D1004">
        <w:rPr>
          <w:rFonts w:ascii="Times New Roman" w:hAnsi="Times New Roman" w:cs="Times New Roman"/>
          <w:sz w:val="24"/>
          <w:szCs w:val="24"/>
        </w:rPr>
        <w:t xml:space="preserve"> more</w:t>
      </w:r>
      <w:r w:rsidRPr="00364202">
        <w:rPr>
          <w:rFonts w:ascii="Times New Roman" w:hAnsi="Times New Roman" w:cs="Times New Roman"/>
          <w:sz w:val="24"/>
          <w:szCs w:val="24"/>
        </w:rPr>
        <w:t xml:space="preserve"> personalized</w:t>
      </w:r>
      <w:r w:rsidRPr="00364202">
        <w:rPr>
          <w:rFonts w:ascii="Times New Roman" w:hAnsi="Times New Roman" w:cs="Times New Roman"/>
          <w:color w:val="222222"/>
          <w:sz w:val="24"/>
          <w:szCs w:val="24"/>
          <w:shd w:val="clear" w:color="auto" w:fill="FFFFFF"/>
        </w:rPr>
        <w:t xml:space="preserve"> (</w:t>
      </w:r>
      <w:r w:rsidRPr="00364202">
        <w:rPr>
          <w:rFonts w:ascii="Times New Roman" w:hAnsi="Times New Roman" w:cs="Times New Roman"/>
          <w:sz w:val="24"/>
          <w:szCs w:val="24"/>
        </w:rPr>
        <w:t>Ogawa, &amp; Shimizu</w:t>
      </w:r>
      <w:r w:rsidR="00F9524F" w:rsidRPr="00364202">
        <w:rPr>
          <w:rFonts w:ascii="Times New Roman" w:hAnsi="Times New Roman" w:cs="Times New Roman"/>
          <w:sz w:val="24"/>
          <w:szCs w:val="24"/>
        </w:rPr>
        <w:t>, 2016</w:t>
      </w:r>
      <w:r w:rsidRPr="00364202">
        <w:rPr>
          <w:rFonts w:ascii="Times New Roman" w:hAnsi="Times New Roman" w:cs="Times New Roman"/>
          <w:sz w:val="24"/>
          <w:szCs w:val="24"/>
        </w:rPr>
        <w:t xml:space="preserve">). The platform is revolutionary, as it is based on an asynchronous education concept. Nicknamed "Guided Learning Pathways," the platform seeks to tackle problems in </w:t>
      </w:r>
      <w:r w:rsidR="007D1004">
        <w:rPr>
          <w:rFonts w:ascii="Times New Roman" w:hAnsi="Times New Roman" w:cs="Times New Roman"/>
          <w:sz w:val="24"/>
          <w:szCs w:val="24"/>
        </w:rPr>
        <w:t xml:space="preserve">online learning, for example </w:t>
      </w:r>
      <w:r w:rsidRPr="00364202">
        <w:rPr>
          <w:rFonts w:ascii="Times New Roman" w:hAnsi="Times New Roman" w:cs="Times New Roman"/>
          <w:sz w:val="24"/>
          <w:szCs w:val="24"/>
        </w:rPr>
        <w:t xml:space="preserve">the lack of customization </w:t>
      </w:r>
      <w:r w:rsidR="007D1004">
        <w:rPr>
          <w:rFonts w:ascii="Times New Roman" w:hAnsi="Times New Roman" w:cs="Times New Roman"/>
          <w:sz w:val="24"/>
          <w:szCs w:val="24"/>
        </w:rPr>
        <w:t xml:space="preserve">of education materials </w:t>
      </w:r>
      <w:r w:rsidRPr="00364202">
        <w:rPr>
          <w:rFonts w:ascii="Times New Roman" w:hAnsi="Times New Roman" w:cs="Times New Roman"/>
          <w:sz w:val="24"/>
          <w:szCs w:val="24"/>
        </w:rPr>
        <w:t>to individual needs of learners, and discovering the proper fit between appropriate education materials and students. The research caused to two advancements: one is the navigation in technology that can classify massive online learning materials into multi-layers topics. The other one is the students’ learning demeanor simulation based on a superior probabilistic student model</w:t>
      </w:r>
      <w:r w:rsidRPr="00364202">
        <w:rPr>
          <w:rFonts w:ascii="Times New Roman" w:hAnsi="Times New Roman" w:cs="Times New Roman"/>
          <w:color w:val="222222"/>
          <w:sz w:val="24"/>
          <w:szCs w:val="24"/>
          <w:shd w:val="clear" w:color="auto" w:fill="FFFFFF"/>
        </w:rPr>
        <w:t xml:space="preserve"> (</w:t>
      </w:r>
      <w:proofErr w:type="spellStart"/>
      <w:r w:rsidRPr="00364202">
        <w:rPr>
          <w:rFonts w:ascii="Times New Roman" w:hAnsi="Times New Roman" w:cs="Times New Roman"/>
          <w:sz w:val="24"/>
          <w:szCs w:val="24"/>
        </w:rPr>
        <w:t>Zeiler</w:t>
      </w:r>
      <w:proofErr w:type="spellEnd"/>
      <w:r w:rsidRPr="00364202">
        <w:rPr>
          <w:rFonts w:ascii="Times New Roman" w:hAnsi="Times New Roman" w:cs="Times New Roman"/>
          <w:sz w:val="24"/>
          <w:szCs w:val="24"/>
        </w:rPr>
        <w:t>, 2012).</w:t>
      </w:r>
    </w:p>
    <w:p w:rsidR="004546F8"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The technologies listed above break up atomize parts of learner’s education relying on their connections online more similar to how companies like </w:t>
      </w:r>
      <w:r w:rsidR="00580299" w:rsidRPr="00364202">
        <w:rPr>
          <w:rFonts w:ascii="Times New Roman" w:hAnsi="Times New Roman" w:cs="Times New Roman"/>
          <w:sz w:val="24"/>
          <w:szCs w:val="24"/>
        </w:rPr>
        <w:t>Face book</w:t>
      </w:r>
      <w:r w:rsidRPr="00364202">
        <w:rPr>
          <w:rFonts w:ascii="Times New Roman" w:hAnsi="Times New Roman" w:cs="Times New Roman"/>
          <w:sz w:val="24"/>
          <w:szCs w:val="24"/>
        </w:rPr>
        <w:t xml:space="preserve"> or Google use algorithms to approximate what users are liking or looking </w:t>
      </w:r>
      <w:r w:rsidR="00580299" w:rsidRPr="00364202">
        <w:rPr>
          <w:rFonts w:ascii="Times New Roman" w:hAnsi="Times New Roman" w:cs="Times New Roman"/>
          <w:sz w:val="24"/>
          <w:szCs w:val="24"/>
        </w:rPr>
        <w:t>for. The</w:t>
      </w:r>
      <w:r w:rsidRPr="00364202">
        <w:rPr>
          <w:rFonts w:ascii="Times New Roman" w:hAnsi="Times New Roman" w:cs="Times New Roman"/>
          <w:sz w:val="24"/>
          <w:szCs w:val="24"/>
        </w:rPr>
        <w:t xml:space="preserve"> consequence is </w:t>
      </w:r>
      <w:proofErr w:type="gramStart"/>
      <w:r w:rsidRPr="00364202">
        <w:rPr>
          <w:rFonts w:ascii="Times New Roman" w:hAnsi="Times New Roman" w:cs="Times New Roman"/>
          <w:sz w:val="24"/>
          <w:szCs w:val="24"/>
        </w:rPr>
        <w:t>a personalized path through the stuff students take</w:t>
      </w:r>
      <w:proofErr w:type="gramEnd"/>
      <w:r w:rsidRPr="00364202">
        <w:rPr>
          <w:rFonts w:ascii="Times New Roman" w:hAnsi="Times New Roman" w:cs="Times New Roman"/>
          <w:sz w:val="24"/>
          <w:szCs w:val="24"/>
        </w:rPr>
        <w:t xml:space="preserve"> on the course of a curriculum.</w:t>
      </w:r>
    </w:p>
    <w:p w:rsidR="00562294"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The Apollo Group announced it had accumulated nearly $1 billion venture in their adaptive online education platform and related infrastructure. Recently the company obtained a patent for their adaptive online learning (</w:t>
      </w:r>
      <w:proofErr w:type="spellStart"/>
      <w:r w:rsidRPr="00364202">
        <w:rPr>
          <w:rFonts w:ascii="Times New Roman" w:hAnsi="Times New Roman" w:cs="Times New Roman"/>
          <w:sz w:val="24"/>
          <w:szCs w:val="24"/>
        </w:rPr>
        <w:t>Kirschner</w:t>
      </w:r>
      <w:proofErr w:type="spellEnd"/>
      <w:r w:rsidRPr="00364202">
        <w:rPr>
          <w:rFonts w:ascii="Times New Roman" w:hAnsi="Times New Roman" w:cs="Times New Roman"/>
          <w:sz w:val="24"/>
          <w:szCs w:val="24"/>
        </w:rPr>
        <w:t>, 2012).</w:t>
      </w: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84E80" w:rsidRPr="00364202" w:rsidRDefault="009D655C" w:rsidP="00364202">
      <w:pPr>
        <w:spacing w:line="480" w:lineRule="auto"/>
        <w:jc w:val="both"/>
        <w:rPr>
          <w:rFonts w:ascii="Times New Roman" w:hAnsi="Times New Roman" w:cs="Times New Roman"/>
          <w:sz w:val="24"/>
          <w:szCs w:val="24"/>
        </w:rPr>
      </w:pPr>
      <w:r w:rsidRPr="00364202">
        <w:rPr>
          <w:rFonts w:ascii="Times New Roman" w:hAnsi="Times New Roman" w:cs="Times New Roman"/>
          <w:sz w:val="24"/>
          <w:szCs w:val="24"/>
        </w:rPr>
        <w:lastRenderedPageBreak/>
        <w:t>Conclusion</w:t>
      </w:r>
    </w:p>
    <w:p w:rsidR="00C10F9B"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The trends in higher education are thus broader under the realm of technology are more extensive, where online learning is the most dynamic. Therefore, these patterns are here to stay, and institution cannot afford to ignore them but instead embrace them.</w:t>
      </w:r>
    </w:p>
    <w:p w:rsidR="00C84E80"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 xml:space="preserve">The effects of these will be felt for instance; online education introduces new methods of delivery, access to </w:t>
      </w:r>
      <w:r w:rsidR="00580299" w:rsidRPr="00364202">
        <w:rPr>
          <w:rFonts w:ascii="Times New Roman" w:hAnsi="Times New Roman" w:cs="Times New Roman"/>
          <w:sz w:val="24"/>
          <w:szCs w:val="24"/>
        </w:rPr>
        <w:t>courses, lowers</w:t>
      </w:r>
      <w:r w:rsidRPr="00364202">
        <w:rPr>
          <w:rFonts w:ascii="Times New Roman" w:hAnsi="Times New Roman" w:cs="Times New Roman"/>
          <w:sz w:val="24"/>
          <w:szCs w:val="24"/>
        </w:rPr>
        <w:t xml:space="preserve"> costs and increases revenue. Thus, these changing trends in higher education are the driving force behind most of the educational strategies being introduced now by institutions.</w:t>
      </w: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C10F9B" w:rsidRDefault="00C914EF" w:rsidP="00364202">
      <w:pPr>
        <w:spacing w:line="480" w:lineRule="auto"/>
        <w:jc w:val="both"/>
        <w:rPr>
          <w:rFonts w:ascii="Times New Roman" w:hAnsi="Times New Roman" w:cs="Times New Roman"/>
          <w:sz w:val="24"/>
          <w:szCs w:val="24"/>
        </w:rPr>
      </w:pPr>
    </w:p>
    <w:p w:rsidR="004754AE" w:rsidRPr="00364202" w:rsidRDefault="009D655C" w:rsidP="00C10F9B">
      <w:pPr>
        <w:spacing w:line="480" w:lineRule="auto"/>
        <w:jc w:val="center"/>
        <w:rPr>
          <w:rFonts w:ascii="Times New Roman" w:hAnsi="Times New Roman" w:cs="Times New Roman"/>
          <w:sz w:val="24"/>
          <w:szCs w:val="24"/>
        </w:rPr>
      </w:pPr>
      <w:r w:rsidRPr="00364202">
        <w:rPr>
          <w:rFonts w:ascii="Times New Roman" w:hAnsi="Times New Roman" w:cs="Times New Roman"/>
          <w:sz w:val="24"/>
          <w:szCs w:val="24"/>
        </w:rPr>
        <w:lastRenderedPageBreak/>
        <w:t>References</w:t>
      </w:r>
    </w:p>
    <w:p w:rsidR="00A901E9"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Castle, S. R., &amp; McGuire, C. (2010). An analysis of student self-assessment of online, blended, and face-to-face learning environments: Implications for sustainable education delivery. </w:t>
      </w:r>
      <w:proofErr w:type="gramStart"/>
      <w:r w:rsidRPr="00364202">
        <w:rPr>
          <w:rFonts w:ascii="Times New Roman" w:hAnsi="Times New Roman" w:cs="Times New Roman"/>
          <w:i/>
          <w:iCs/>
          <w:sz w:val="24"/>
          <w:szCs w:val="24"/>
        </w:rPr>
        <w:t>International Education Studies</w:t>
      </w:r>
      <w:r w:rsidRPr="00364202">
        <w:rPr>
          <w:rFonts w:ascii="Times New Roman" w:hAnsi="Times New Roman" w:cs="Times New Roman"/>
          <w:sz w:val="24"/>
          <w:szCs w:val="24"/>
        </w:rPr>
        <w:t>, </w:t>
      </w:r>
      <w:r w:rsidRPr="00364202">
        <w:rPr>
          <w:rFonts w:ascii="Times New Roman" w:hAnsi="Times New Roman" w:cs="Times New Roman"/>
          <w:i/>
          <w:iCs/>
          <w:sz w:val="24"/>
          <w:szCs w:val="24"/>
        </w:rPr>
        <w:t>3</w:t>
      </w:r>
      <w:r w:rsidRPr="00364202">
        <w:rPr>
          <w:rFonts w:ascii="Times New Roman" w:hAnsi="Times New Roman" w:cs="Times New Roman"/>
          <w:sz w:val="24"/>
          <w:szCs w:val="24"/>
        </w:rPr>
        <w:t>(3), 36.</w:t>
      </w:r>
      <w:proofErr w:type="gramEnd"/>
    </w:p>
    <w:p w:rsidR="00A901E9" w:rsidRPr="00364202" w:rsidRDefault="009D655C" w:rsidP="00C10F9B">
      <w:pPr>
        <w:spacing w:line="480" w:lineRule="auto"/>
        <w:ind w:firstLine="720"/>
        <w:jc w:val="both"/>
        <w:rPr>
          <w:rFonts w:ascii="Times New Roman" w:hAnsi="Times New Roman" w:cs="Times New Roman"/>
          <w:sz w:val="24"/>
          <w:szCs w:val="24"/>
        </w:rPr>
      </w:pPr>
      <w:proofErr w:type="spellStart"/>
      <w:proofErr w:type="gramStart"/>
      <w:r w:rsidRPr="00364202">
        <w:rPr>
          <w:rFonts w:ascii="Times New Roman" w:hAnsi="Times New Roman" w:cs="Times New Roman"/>
          <w:sz w:val="24"/>
          <w:szCs w:val="24"/>
        </w:rPr>
        <w:t>Wainer</w:t>
      </w:r>
      <w:proofErr w:type="spellEnd"/>
      <w:r w:rsidRPr="00364202">
        <w:rPr>
          <w:rFonts w:ascii="Times New Roman" w:hAnsi="Times New Roman" w:cs="Times New Roman"/>
          <w:sz w:val="24"/>
          <w:szCs w:val="24"/>
        </w:rPr>
        <w:t>, H. (2011).</w:t>
      </w:r>
      <w:proofErr w:type="gramEnd"/>
      <w:r w:rsidRPr="00364202">
        <w:rPr>
          <w:rFonts w:ascii="Times New Roman" w:hAnsi="Times New Roman" w:cs="Times New Roman"/>
          <w:sz w:val="24"/>
          <w:szCs w:val="24"/>
        </w:rPr>
        <w:t> </w:t>
      </w:r>
      <w:r w:rsidRPr="00364202">
        <w:rPr>
          <w:rFonts w:ascii="Times New Roman" w:hAnsi="Times New Roman" w:cs="Times New Roman"/>
          <w:i/>
          <w:iCs/>
          <w:sz w:val="24"/>
          <w:szCs w:val="24"/>
        </w:rPr>
        <w:t>Uneducated Guesses: Using evidence to uncover misguided education policies</w:t>
      </w:r>
      <w:r w:rsidRPr="00364202">
        <w:rPr>
          <w:rFonts w:ascii="Times New Roman" w:hAnsi="Times New Roman" w:cs="Times New Roman"/>
          <w:sz w:val="24"/>
          <w:szCs w:val="24"/>
        </w:rPr>
        <w:t xml:space="preserve">. </w:t>
      </w:r>
      <w:proofErr w:type="gramStart"/>
      <w:r w:rsidRPr="00364202">
        <w:rPr>
          <w:rFonts w:ascii="Times New Roman" w:hAnsi="Times New Roman" w:cs="Times New Roman"/>
          <w:sz w:val="24"/>
          <w:szCs w:val="24"/>
        </w:rPr>
        <w:t>Princeton University Press.</w:t>
      </w:r>
      <w:proofErr w:type="gramEnd"/>
    </w:p>
    <w:p w:rsidR="00A901E9" w:rsidRPr="00364202" w:rsidRDefault="009D655C" w:rsidP="00C10F9B">
      <w:pPr>
        <w:spacing w:line="480" w:lineRule="auto"/>
        <w:ind w:firstLine="720"/>
        <w:jc w:val="both"/>
        <w:rPr>
          <w:rFonts w:ascii="Times New Roman" w:hAnsi="Times New Roman" w:cs="Times New Roman"/>
          <w:sz w:val="24"/>
          <w:szCs w:val="24"/>
        </w:rPr>
      </w:pPr>
      <w:proofErr w:type="spellStart"/>
      <w:r w:rsidRPr="00364202">
        <w:rPr>
          <w:rFonts w:ascii="Times New Roman" w:hAnsi="Times New Roman" w:cs="Times New Roman"/>
          <w:sz w:val="24"/>
          <w:szCs w:val="24"/>
        </w:rPr>
        <w:t>Kirschner</w:t>
      </w:r>
      <w:proofErr w:type="spellEnd"/>
      <w:r w:rsidRPr="00364202">
        <w:rPr>
          <w:rFonts w:ascii="Times New Roman" w:hAnsi="Times New Roman" w:cs="Times New Roman"/>
          <w:sz w:val="24"/>
          <w:szCs w:val="24"/>
        </w:rPr>
        <w:t>, A. (2012). A pioneer in online education tries a MOOC. </w:t>
      </w:r>
      <w:proofErr w:type="gramStart"/>
      <w:r w:rsidRPr="00364202">
        <w:rPr>
          <w:rFonts w:ascii="Times New Roman" w:hAnsi="Times New Roman" w:cs="Times New Roman"/>
          <w:i/>
          <w:iCs/>
          <w:sz w:val="24"/>
          <w:szCs w:val="24"/>
        </w:rPr>
        <w:t>Chronicle of Higher Education</w:t>
      </w:r>
      <w:r w:rsidRPr="00364202">
        <w:rPr>
          <w:rFonts w:ascii="Times New Roman" w:hAnsi="Times New Roman" w:cs="Times New Roman"/>
          <w:sz w:val="24"/>
          <w:szCs w:val="24"/>
        </w:rPr>
        <w:t>.</w:t>
      </w:r>
      <w:proofErr w:type="gramEnd"/>
    </w:p>
    <w:p w:rsidR="00BE2603" w:rsidRPr="00364202" w:rsidRDefault="009D655C" w:rsidP="00C10F9B">
      <w:pPr>
        <w:spacing w:line="480" w:lineRule="auto"/>
        <w:ind w:firstLine="720"/>
        <w:jc w:val="both"/>
        <w:rPr>
          <w:rFonts w:ascii="Times New Roman" w:hAnsi="Times New Roman" w:cs="Times New Roman"/>
          <w:sz w:val="24"/>
          <w:szCs w:val="24"/>
        </w:rPr>
      </w:pPr>
      <w:r w:rsidRPr="00364202">
        <w:rPr>
          <w:rFonts w:ascii="Times New Roman" w:hAnsi="Times New Roman" w:cs="Times New Roman"/>
          <w:sz w:val="24"/>
          <w:szCs w:val="24"/>
        </w:rPr>
        <w:t>Ogawa, N., &amp; Shimizu, A. (2016). Innovative approaches toward smart education at National Institute of Technology, Gifu College. In </w:t>
      </w:r>
      <w:r w:rsidRPr="00364202">
        <w:rPr>
          <w:rFonts w:ascii="Times New Roman" w:hAnsi="Times New Roman" w:cs="Times New Roman"/>
          <w:i/>
          <w:iCs/>
          <w:sz w:val="24"/>
          <w:szCs w:val="24"/>
        </w:rPr>
        <w:t>Smart Education and e-Learning 2016</w:t>
      </w:r>
      <w:r w:rsidRPr="00364202">
        <w:rPr>
          <w:rFonts w:ascii="Times New Roman" w:hAnsi="Times New Roman" w:cs="Times New Roman"/>
          <w:sz w:val="24"/>
          <w:szCs w:val="24"/>
        </w:rPr>
        <w:t xml:space="preserve"> (pp. 29-38). </w:t>
      </w:r>
      <w:proofErr w:type="gramStart"/>
      <w:r w:rsidRPr="00364202">
        <w:rPr>
          <w:rFonts w:ascii="Times New Roman" w:hAnsi="Times New Roman" w:cs="Times New Roman"/>
          <w:sz w:val="24"/>
          <w:szCs w:val="24"/>
        </w:rPr>
        <w:t>Springer International Publishing.</w:t>
      </w:r>
      <w:proofErr w:type="gramEnd"/>
    </w:p>
    <w:p w:rsidR="00BE2603" w:rsidRPr="00364202" w:rsidRDefault="009D655C" w:rsidP="00C10F9B">
      <w:pPr>
        <w:spacing w:line="480" w:lineRule="auto"/>
        <w:ind w:firstLine="720"/>
        <w:jc w:val="both"/>
        <w:rPr>
          <w:rFonts w:ascii="Times New Roman" w:hAnsi="Times New Roman" w:cs="Times New Roman"/>
          <w:sz w:val="24"/>
          <w:szCs w:val="24"/>
        </w:rPr>
      </w:pPr>
      <w:proofErr w:type="spellStart"/>
      <w:r w:rsidRPr="00364202">
        <w:rPr>
          <w:rFonts w:ascii="Times New Roman" w:hAnsi="Times New Roman" w:cs="Times New Roman"/>
          <w:sz w:val="24"/>
          <w:szCs w:val="24"/>
        </w:rPr>
        <w:t>Kapp</w:t>
      </w:r>
      <w:proofErr w:type="spellEnd"/>
      <w:r w:rsidRPr="00364202">
        <w:rPr>
          <w:rFonts w:ascii="Times New Roman" w:hAnsi="Times New Roman" w:cs="Times New Roman"/>
          <w:sz w:val="24"/>
          <w:szCs w:val="24"/>
        </w:rPr>
        <w:t>, K. M. (2012). </w:t>
      </w:r>
      <w:r w:rsidRPr="00364202">
        <w:rPr>
          <w:rFonts w:ascii="Times New Roman" w:hAnsi="Times New Roman" w:cs="Times New Roman"/>
          <w:i/>
          <w:iCs/>
          <w:sz w:val="24"/>
          <w:szCs w:val="24"/>
        </w:rPr>
        <w:t xml:space="preserve">The </w:t>
      </w:r>
      <w:proofErr w:type="spellStart"/>
      <w:r w:rsidRPr="00364202">
        <w:rPr>
          <w:rFonts w:ascii="Times New Roman" w:hAnsi="Times New Roman" w:cs="Times New Roman"/>
          <w:i/>
          <w:iCs/>
          <w:sz w:val="24"/>
          <w:szCs w:val="24"/>
        </w:rPr>
        <w:t>gamification</w:t>
      </w:r>
      <w:proofErr w:type="spellEnd"/>
      <w:r w:rsidRPr="00364202">
        <w:rPr>
          <w:rFonts w:ascii="Times New Roman" w:hAnsi="Times New Roman" w:cs="Times New Roman"/>
          <w:i/>
          <w:iCs/>
          <w:sz w:val="24"/>
          <w:szCs w:val="24"/>
        </w:rPr>
        <w:t xml:space="preserve"> of learning and instruction: game-based methods and strategies for training and education</w:t>
      </w:r>
      <w:r w:rsidRPr="00364202">
        <w:rPr>
          <w:rFonts w:ascii="Times New Roman" w:hAnsi="Times New Roman" w:cs="Times New Roman"/>
          <w:sz w:val="24"/>
          <w:szCs w:val="24"/>
        </w:rPr>
        <w:t xml:space="preserve">. </w:t>
      </w:r>
      <w:proofErr w:type="gramStart"/>
      <w:r w:rsidRPr="00364202">
        <w:rPr>
          <w:rFonts w:ascii="Times New Roman" w:hAnsi="Times New Roman" w:cs="Times New Roman"/>
          <w:sz w:val="24"/>
          <w:szCs w:val="24"/>
        </w:rPr>
        <w:t>John Wiley &amp; Sons.</w:t>
      </w:r>
      <w:proofErr w:type="gramEnd"/>
    </w:p>
    <w:p w:rsidR="00BE2603" w:rsidRPr="00364202" w:rsidRDefault="009D655C" w:rsidP="00C10F9B">
      <w:pPr>
        <w:spacing w:line="480" w:lineRule="auto"/>
        <w:ind w:firstLine="720"/>
        <w:jc w:val="both"/>
        <w:rPr>
          <w:rFonts w:ascii="Times New Roman" w:hAnsi="Times New Roman" w:cs="Times New Roman"/>
          <w:sz w:val="24"/>
          <w:szCs w:val="24"/>
        </w:rPr>
      </w:pPr>
      <w:proofErr w:type="spellStart"/>
      <w:r w:rsidRPr="00364202">
        <w:rPr>
          <w:rFonts w:ascii="Times New Roman" w:hAnsi="Times New Roman" w:cs="Times New Roman"/>
          <w:sz w:val="24"/>
          <w:szCs w:val="24"/>
        </w:rPr>
        <w:t>Zeiler</w:t>
      </w:r>
      <w:proofErr w:type="spellEnd"/>
      <w:r w:rsidRPr="00364202">
        <w:rPr>
          <w:rFonts w:ascii="Times New Roman" w:hAnsi="Times New Roman" w:cs="Times New Roman"/>
          <w:sz w:val="24"/>
          <w:szCs w:val="24"/>
        </w:rPr>
        <w:t>, M. D. (2012). ADADELTA: an adaptive learning rate method. </w:t>
      </w:r>
      <w:proofErr w:type="spellStart"/>
      <w:r w:rsidRPr="00364202">
        <w:rPr>
          <w:rFonts w:ascii="Times New Roman" w:hAnsi="Times New Roman" w:cs="Times New Roman"/>
          <w:i/>
          <w:iCs/>
          <w:sz w:val="24"/>
          <w:szCs w:val="24"/>
        </w:rPr>
        <w:t>ArXiv</w:t>
      </w:r>
      <w:proofErr w:type="spellEnd"/>
      <w:r w:rsidRPr="00364202">
        <w:rPr>
          <w:rFonts w:ascii="Times New Roman" w:hAnsi="Times New Roman" w:cs="Times New Roman"/>
          <w:i/>
          <w:iCs/>
          <w:sz w:val="24"/>
          <w:szCs w:val="24"/>
        </w:rPr>
        <w:t xml:space="preserve"> preprint </w:t>
      </w:r>
      <w:proofErr w:type="spellStart"/>
      <w:r w:rsidRPr="00364202">
        <w:rPr>
          <w:rFonts w:ascii="Times New Roman" w:hAnsi="Times New Roman" w:cs="Times New Roman"/>
          <w:i/>
          <w:iCs/>
          <w:sz w:val="24"/>
          <w:szCs w:val="24"/>
        </w:rPr>
        <w:t>arXiv</w:t>
      </w:r>
      <w:proofErr w:type="spellEnd"/>
      <w:r w:rsidRPr="00364202">
        <w:rPr>
          <w:rFonts w:ascii="Times New Roman" w:hAnsi="Times New Roman" w:cs="Times New Roman"/>
          <w:i/>
          <w:iCs/>
          <w:sz w:val="24"/>
          <w:szCs w:val="24"/>
        </w:rPr>
        <w:t>: 1212.5701</w:t>
      </w:r>
      <w:r w:rsidRPr="00364202">
        <w:rPr>
          <w:rFonts w:ascii="Times New Roman" w:hAnsi="Times New Roman" w:cs="Times New Roman"/>
          <w:sz w:val="24"/>
          <w:szCs w:val="24"/>
        </w:rPr>
        <w:t>.</w:t>
      </w:r>
    </w:p>
    <w:p w:rsidR="00364202" w:rsidRPr="00364202" w:rsidRDefault="009D655C" w:rsidP="00C10F9B">
      <w:pPr>
        <w:spacing w:line="480" w:lineRule="auto"/>
        <w:ind w:firstLine="720"/>
        <w:jc w:val="both"/>
        <w:rPr>
          <w:rFonts w:ascii="Times New Roman" w:hAnsi="Times New Roman" w:cs="Times New Roman"/>
          <w:sz w:val="24"/>
          <w:szCs w:val="24"/>
        </w:rPr>
      </w:pPr>
      <w:proofErr w:type="spellStart"/>
      <w:r w:rsidRPr="00364202">
        <w:rPr>
          <w:rFonts w:ascii="Times New Roman" w:hAnsi="Times New Roman" w:cs="Times New Roman"/>
          <w:sz w:val="24"/>
          <w:szCs w:val="24"/>
        </w:rPr>
        <w:t>Kotler</w:t>
      </w:r>
      <w:proofErr w:type="spellEnd"/>
      <w:r w:rsidRPr="00364202">
        <w:rPr>
          <w:rFonts w:ascii="Times New Roman" w:hAnsi="Times New Roman" w:cs="Times New Roman"/>
          <w:sz w:val="24"/>
          <w:szCs w:val="24"/>
        </w:rPr>
        <w:t>, P., &amp; Armstrong, G. (2010). </w:t>
      </w:r>
      <w:proofErr w:type="gramStart"/>
      <w:r w:rsidRPr="00364202">
        <w:rPr>
          <w:rFonts w:ascii="Times New Roman" w:hAnsi="Times New Roman" w:cs="Times New Roman"/>
          <w:i/>
          <w:iCs/>
          <w:sz w:val="24"/>
          <w:szCs w:val="24"/>
        </w:rPr>
        <w:t>Principles of marketing</w:t>
      </w:r>
      <w:r w:rsidRPr="00364202">
        <w:rPr>
          <w:rFonts w:ascii="Times New Roman" w:hAnsi="Times New Roman" w:cs="Times New Roman"/>
          <w:sz w:val="24"/>
          <w:szCs w:val="24"/>
        </w:rPr>
        <w:t>.</w:t>
      </w:r>
      <w:proofErr w:type="gramEnd"/>
      <w:r w:rsidRPr="00364202">
        <w:rPr>
          <w:rFonts w:ascii="Times New Roman" w:hAnsi="Times New Roman" w:cs="Times New Roman"/>
          <w:sz w:val="24"/>
          <w:szCs w:val="24"/>
        </w:rPr>
        <w:t xml:space="preserve"> Pearson education.</w:t>
      </w:r>
    </w:p>
    <w:sectPr w:rsidR="00364202" w:rsidRPr="00364202" w:rsidSect="003642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55C" w:rsidRDefault="009D655C" w:rsidP="00E21B51">
      <w:pPr>
        <w:spacing w:after="0" w:line="240" w:lineRule="auto"/>
      </w:pPr>
      <w:r>
        <w:separator/>
      </w:r>
    </w:p>
  </w:endnote>
  <w:endnote w:type="continuationSeparator" w:id="0">
    <w:p w:rsidR="009D655C" w:rsidRDefault="009D655C" w:rsidP="00E21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55C" w:rsidRDefault="009D655C" w:rsidP="00E21B51">
      <w:pPr>
        <w:spacing w:after="0" w:line="240" w:lineRule="auto"/>
      </w:pPr>
      <w:r>
        <w:separator/>
      </w:r>
    </w:p>
  </w:footnote>
  <w:footnote w:type="continuationSeparator" w:id="0">
    <w:p w:rsidR="009D655C" w:rsidRDefault="009D655C" w:rsidP="00E21B5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24001"/>
      <w:docPartObj>
        <w:docPartGallery w:val="Page Numbers (Top of Page)"/>
        <w:docPartUnique/>
      </w:docPartObj>
    </w:sdtPr>
    <w:sdtEndPr/>
    <w:sdtContent>
      <w:p w:rsidR="00364202" w:rsidRDefault="009D655C">
        <w:pPr>
          <w:pStyle w:val="Header"/>
          <w:jc w:val="right"/>
        </w:pPr>
        <w:r>
          <w:t xml:space="preserve"> </w:t>
        </w:r>
        <w:r>
          <w:rPr>
            <w:rFonts w:ascii="Times New Roman" w:hAnsi="Times New Roman" w:cs="Times New Roman"/>
            <w:sz w:val="24"/>
            <w:szCs w:val="24"/>
          </w:rPr>
          <w:t xml:space="preserve">Trends in Higher </w:t>
        </w:r>
        <w:proofErr w:type="gramStart"/>
        <w:r>
          <w:rPr>
            <w:rFonts w:ascii="Times New Roman" w:hAnsi="Times New Roman" w:cs="Times New Roman"/>
            <w:sz w:val="24"/>
            <w:szCs w:val="24"/>
          </w:rPr>
          <w:t>E</w:t>
        </w:r>
        <w:r w:rsidRPr="00364202">
          <w:rPr>
            <w:rFonts w:ascii="Times New Roman" w:hAnsi="Times New Roman" w:cs="Times New Roman"/>
            <w:sz w:val="24"/>
            <w:szCs w:val="24"/>
          </w:rPr>
          <w:t>ducation</w:t>
        </w:r>
        <w:r>
          <w:rPr>
            <w:rFonts w:ascii="Times New Roman" w:hAnsi="Times New Roman" w:cs="Times New Roman"/>
            <w:sz w:val="24"/>
            <w:szCs w:val="24"/>
          </w:rPr>
          <w:t xml:space="preserve">                                                                                                           </w:t>
        </w:r>
        <w:r w:rsidRPr="00364202">
          <w:rPr>
            <w:rFonts w:ascii="Times New Roman" w:hAnsi="Times New Roman" w:cs="Times New Roman"/>
            <w:sz w:val="24"/>
            <w:szCs w:val="24"/>
          </w:rPr>
          <w:t xml:space="preserve"> </w:t>
        </w:r>
        <w:proofErr w:type="gramEnd"/>
        <w:r w:rsidR="00E21B51" w:rsidRPr="00364202">
          <w:rPr>
            <w:rFonts w:ascii="Times New Roman" w:hAnsi="Times New Roman" w:cs="Times New Roman"/>
            <w:sz w:val="24"/>
            <w:szCs w:val="24"/>
          </w:rPr>
          <w:fldChar w:fldCharType="begin"/>
        </w:r>
        <w:r w:rsidRPr="00364202">
          <w:rPr>
            <w:rFonts w:ascii="Times New Roman" w:hAnsi="Times New Roman" w:cs="Times New Roman"/>
            <w:sz w:val="24"/>
            <w:szCs w:val="24"/>
          </w:rPr>
          <w:instrText xml:space="preserve"> PAGE   \* MERGEFORMAT </w:instrText>
        </w:r>
        <w:r w:rsidR="00E21B51" w:rsidRPr="00364202">
          <w:rPr>
            <w:rFonts w:ascii="Times New Roman" w:hAnsi="Times New Roman" w:cs="Times New Roman"/>
            <w:sz w:val="24"/>
            <w:szCs w:val="24"/>
          </w:rPr>
          <w:fldChar w:fldCharType="separate"/>
        </w:r>
        <w:r w:rsidR="00C914EF">
          <w:rPr>
            <w:rFonts w:ascii="Times New Roman" w:hAnsi="Times New Roman" w:cs="Times New Roman"/>
            <w:noProof/>
            <w:sz w:val="24"/>
            <w:szCs w:val="24"/>
          </w:rPr>
          <w:t>2</w:t>
        </w:r>
        <w:r w:rsidR="00E21B51" w:rsidRPr="00364202">
          <w:rPr>
            <w:rFonts w:ascii="Times New Roman" w:hAnsi="Times New Roman" w:cs="Times New Roman"/>
            <w:sz w:val="24"/>
            <w:szCs w:val="24"/>
          </w:rPr>
          <w:fldChar w:fldCharType="end"/>
        </w:r>
      </w:p>
    </w:sdtContent>
  </w:sdt>
  <w:p w:rsidR="00364202" w:rsidRDefault="00C914E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202" w:rsidRPr="00364202" w:rsidRDefault="009D655C">
    <w:pPr>
      <w:pStyle w:val="Header"/>
      <w:rPr>
        <w:rFonts w:ascii="Times New Roman" w:hAnsi="Times New Roman" w:cs="Times New Roman"/>
        <w:sz w:val="24"/>
        <w:szCs w:val="24"/>
      </w:rPr>
    </w:pPr>
    <w:r w:rsidRPr="00364202">
      <w:rPr>
        <w:rFonts w:ascii="Times New Roman" w:hAnsi="Times New Roman" w:cs="Times New Roman"/>
        <w:sz w:val="24"/>
        <w:szCs w:val="24"/>
      </w:rPr>
      <w:t>Running Head: Trends in Higher Education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5AF4"/>
    <w:multiLevelType w:val="hybridMultilevel"/>
    <w:tmpl w:val="14A0BCDC"/>
    <w:lvl w:ilvl="0" w:tplc="8F1CBC86">
      <w:start w:val="1"/>
      <w:numFmt w:val="bullet"/>
      <w:lvlText w:val=""/>
      <w:lvlJc w:val="left"/>
      <w:pPr>
        <w:ind w:left="1440" w:hanging="360"/>
      </w:pPr>
      <w:rPr>
        <w:rFonts w:ascii="Wingdings" w:hAnsi="Wingdings" w:hint="default"/>
      </w:rPr>
    </w:lvl>
    <w:lvl w:ilvl="1" w:tplc="DD580BF4" w:tentative="1">
      <w:start w:val="1"/>
      <w:numFmt w:val="bullet"/>
      <w:lvlText w:val="o"/>
      <w:lvlJc w:val="left"/>
      <w:pPr>
        <w:ind w:left="2160" w:hanging="360"/>
      </w:pPr>
      <w:rPr>
        <w:rFonts w:ascii="Courier New" w:hAnsi="Courier New" w:cs="Courier New" w:hint="default"/>
      </w:rPr>
    </w:lvl>
    <w:lvl w:ilvl="2" w:tplc="05B2FBFC" w:tentative="1">
      <w:start w:val="1"/>
      <w:numFmt w:val="bullet"/>
      <w:lvlText w:val=""/>
      <w:lvlJc w:val="left"/>
      <w:pPr>
        <w:ind w:left="2880" w:hanging="360"/>
      </w:pPr>
      <w:rPr>
        <w:rFonts w:ascii="Wingdings" w:hAnsi="Wingdings" w:hint="default"/>
      </w:rPr>
    </w:lvl>
    <w:lvl w:ilvl="3" w:tplc="74A20E7C" w:tentative="1">
      <w:start w:val="1"/>
      <w:numFmt w:val="bullet"/>
      <w:lvlText w:val=""/>
      <w:lvlJc w:val="left"/>
      <w:pPr>
        <w:ind w:left="3600" w:hanging="360"/>
      </w:pPr>
      <w:rPr>
        <w:rFonts w:ascii="Symbol" w:hAnsi="Symbol" w:hint="default"/>
      </w:rPr>
    </w:lvl>
    <w:lvl w:ilvl="4" w:tplc="2AAA1894" w:tentative="1">
      <w:start w:val="1"/>
      <w:numFmt w:val="bullet"/>
      <w:lvlText w:val="o"/>
      <w:lvlJc w:val="left"/>
      <w:pPr>
        <w:ind w:left="4320" w:hanging="360"/>
      </w:pPr>
      <w:rPr>
        <w:rFonts w:ascii="Courier New" w:hAnsi="Courier New" w:cs="Courier New" w:hint="default"/>
      </w:rPr>
    </w:lvl>
    <w:lvl w:ilvl="5" w:tplc="5578620A" w:tentative="1">
      <w:start w:val="1"/>
      <w:numFmt w:val="bullet"/>
      <w:lvlText w:val=""/>
      <w:lvlJc w:val="left"/>
      <w:pPr>
        <w:ind w:left="5040" w:hanging="360"/>
      </w:pPr>
      <w:rPr>
        <w:rFonts w:ascii="Wingdings" w:hAnsi="Wingdings" w:hint="default"/>
      </w:rPr>
    </w:lvl>
    <w:lvl w:ilvl="6" w:tplc="7172B06E" w:tentative="1">
      <w:start w:val="1"/>
      <w:numFmt w:val="bullet"/>
      <w:lvlText w:val=""/>
      <w:lvlJc w:val="left"/>
      <w:pPr>
        <w:ind w:left="5760" w:hanging="360"/>
      </w:pPr>
      <w:rPr>
        <w:rFonts w:ascii="Symbol" w:hAnsi="Symbol" w:hint="default"/>
      </w:rPr>
    </w:lvl>
    <w:lvl w:ilvl="7" w:tplc="F5B49884" w:tentative="1">
      <w:start w:val="1"/>
      <w:numFmt w:val="bullet"/>
      <w:lvlText w:val="o"/>
      <w:lvlJc w:val="left"/>
      <w:pPr>
        <w:ind w:left="6480" w:hanging="360"/>
      </w:pPr>
      <w:rPr>
        <w:rFonts w:ascii="Courier New" w:hAnsi="Courier New" w:cs="Courier New" w:hint="default"/>
      </w:rPr>
    </w:lvl>
    <w:lvl w:ilvl="8" w:tplc="674C480C" w:tentative="1">
      <w:start w:val="1"/>
      <w:numFmt w:val="bullet"/>
      <w:lvlText w:val=""/>
      <w:lvlJc w:val="left"/>
      <w:pPr>
        <w:ind w:left="7200" w:hanging="360"/>
      </w:pPr>
      <w:rPr>
        <w:rFonts w:ascii="Wingdings" w:hAnsi="Wingdings" w:hint="default"/>
      </w:rPr>
    </w:lvl>
  </w:abstractNum>
  <w:abstractNum w:abstractNumId="1">
    <w:nsid w:val="136E12A8"/>
    <w:multiLevelType w:val="hybridMultilevel"/>
    <w:tmpl w:val="D402D58E"/>
    <w:lvl w:ilvl="0" w:tplc="D87C91C4">
      <w:start w:val="1"/>
      <w:numFmt w:val="bullet"/>
      <w:lvlText w:val=""/>
      <w:lvlJc w:val="left"/>
      <w:pPr>
        <w:ind w:left="720" w:hanging="360"/>
      </w:pPr>
      <w:rPr>
        <w:rFonts w:ascii="Symbol" w:hAnsi="Symbol" w:hint="default"/>
      </w:rPr>
    </w:lvl>
    <w:lvl w:ilvl="1" w:tplc="AEBAA0B6" w:tentative="1">
      <w:start w:val="1"/>
      <w:numFmt w:val="bullet"/>
      <w:lvlText w:val="o"/>
      <w:lvlJc w:val="left"/>
      <w:pPr>
        <w:ind w:left="1440" w:hanging="360"/>
      </w:pPr>
      <w:rPr>
        <w:rFonts w:ascii="Courier New" w:hAnsi="Courier New" w:cs="Courier New" w:hint="default"/>
      </w:rPr>
    </w:lvl>
    <w:lvl w:ilvl="2" w:tplc="DC6844A4" w:tentative="1">
      <w:start w:val="1"/>
      <w:numFmt w:val="bullet"/>
      <w:lvlText w:val=""/>
      <w:lvlJc w:val="left"/>
      <w:pPr>
        <w:ind w:left="2160" w:hanging="360"/>
      </w:pPr>
      <w:rPr>
        <w:rFonts w:ascii="Wingdings" w:hAnsi="Wingdings" w:hint="default"/>
      </w:rPr>
    </w:lvl>
    <w:lvl w:ilvl="3" w:tplc="C42A3386" w:tentative="1">
      <w:start w:val="1"/>
      <w:numFmt w:val="bullet"/>
      <w:lvlText w:val=""/>
      <w:lvlJc w:val="left"/>
      <w:pPr>
        <w:ind w:left="2880" w:hanging="360"/>
      </w:pPr>
      <w:rPr>
        <w:rFonts w:ascii="Symbol" w:hAnsi="Symbol" w:hint="default"/>
      </w:rPr>
    </w:lvl>
    <w:lvl w:ilvl="4" w:tplc="129A0850" w:tentative="1">
      <w:start w:val="1"/>
      <w:numFmt w:val="bullet"/>
      <w:lvlText w:val="o"/>
      <w:lvlJc w:val="left"/>
      <w:pPr>
        <w:ind w:left="3600" w:hanging="360"/>
      </w:pPr>
      <w:rPr>
        <w:rFonts w:ascii="Courier New" w:hAnsi="Courier New" w:cs="Courier New" w:hint="default"/>
      </w:rPr>
    </w:lvl>
    <w:lvl w:ilvl="5" w:tplc="497EEC6C" w:tentative="1">
      <w:start w:val="1"/>
      <w:numFmt w:val="bullet"/>
      <w:lvlText w:val=""/>
      <w:lvlJc w:val="left"/>
      <w:pPr>
        <w:ind w:left="4320" w:hanging="360"/>
      </w:pPr>
      <w:rPr>
        <w:rFonts w:ascii="Wingdings" w:hAnsi="Wingdings" w:hint="default"/>
      </w:rPr>
    </w:lvl>
    <w:lvl w:ilvl="6" w:tplc="7B2EFA52" w:tentative="1">
      <w:start w:val="1"/>
      <w:numFmt w:val="bullet"/>
      <w:lvlText w:val=""/>
      <w:lvlJc w:val="left"/>
      <w:pPr>
        <w:ind w:left="5040" w:hanging="360"/>
      </w:pPr>
      <w:rPr>
        <w:rFonts w:ascii="Symbol" w:hAnsi="Symbol" w:hint="default"/>
      </w:rPr>
    </w:lvl>
    <w:lvl w:ilvl="7" w:tplc="DDF236A6" w:tentative="1">
      <w:start w:val="1"/>
      <w:numFmt w:val="bullet"/>
      <w:lvlText w:val="o"/>
      <w:lvlJc w:val="left"/>
      <w:pPr>
        <w:ind w:left="5760" w:hanging="360"/>
      </w:pPr>
      <w:rPr>
        <w:rFonts w:ascii="Courier New" w:hAnsi="Courier New" w:cs="Courier New" w:hint="default"/>
      </w:rPr>
    </w:lvl>
    <w:lvl w:ilvl="8" w:tplc="D85A6BD6" w:tentative="1">
      <w:start w:val="1"/>
      <w:numFmt w:val="bullet"/>
      <w:lvlText w:val=""/>
      <w:lvlJc w:val="left"/>
      <w:pPr>
        <w:ind w:left="6480" w:hanging="360"/>
      </w:pPr>
      <w:rPr>
        <w:rFonts w:ascii="Wingdings" w:hAnsi="Wingdings" w:hint="default"/>
      </w:rPr>
    </w:lvl>
  </w:abstractNum>
  <w:abstractNum w:abstractNumId="2">
    <w:nsid w:val="26C4748D"/>
    <w:multiLevelType w:val="hybridMultilevel"/>
    <w:tmpl w:val="1DF0C78E"/>
    <w:lvl w:ilvl="0" w:tplc="E1B6AE54">
      <w:start w:val="1"/>
      <w:numFmt w:val="bullet"/>
      <w:lvlText w:val=""/>
      <w:lvlJc w:val="left"/>
      <w:pPr>
        <w:ind w:left="1440" w:hanging="360"/>
      </w:pPr>
      <w:rPr>
        <w:rFonts w:ascii="Symbol" w:hAnsi="Symbol" w:hint="default"/>
      </w:rPr>
    </w:lvl>
    <w:lvl w:ilvl="1" w:tplc="49501658" w:tentative="1">
      <w:start w:val="1"/>
      <w:numFmt w:val="bullet"/>
      <w:lvlText w:val="o"/>
      <w:lvlJc w:val="left"/>
      <w:pPr>
        <w:ind w:left="2160" w:hanging="360"/>
      </w:pPr>
      <w:rPr>
        <w:rFonts w:ascii="Courier New" w:hAnsi="Courier New" w:cs="Courier New" w:hint="default"/>
      </w:rPr>
    </w:lvl>
    <w:lvl w:ilvl="2" w:tplc="ADEA560C" w:tentative="1">
      <w:start w:val="1"/>
      <w:numFmt w:val="bullet"/>
      <w:lvlText w:val=""/>
      <w:lvlJc w:val="left"/>
      <w:pPr>
        <w:ind w:left="2880" w:hanging="360"/>
      </w:pPr>
      <w:rPr>
        <w:rFonts w:ascii="Wingdings" w:hAnsi="Wingdings" w:hint="default"/>
      </w:rPr>
    </w:lvl>
    <w:lvl w:ilvl="3" w:tplc="90602F70" w:tentative="1">
      <w:start w:val="1"/>
      <w:numFmt w:val="bullet"/>
      <w:lvlText w:val=""/>
      <w:lvlJc w:val="left"/>
      <w:pPr>
        <w:ind w:left="3600" w:hanging="360"/>
      </w:pPr>
      <w:rPr>
        <w:rFonts w:ascii="Symbol" w:hAnsi="Symbol" w:hint="default"/>
      </w:rPr>
    </w:lvl>
    <w:lvl w:ilvl="4" w:tplc="2A7894C0" w:tentative="1">
      <w:start w:val="1"/>
      <w:numFmt w:val="bullet"/>
      <w:lvlText w:val="o"/>
      <w:lvlJc w:val="left"/>
      <w:pPr>
        <w:ind w:left="4320" w:hanging="360"/>
      </w:pPr>
      <w:rPr>
        <w:rFonts w:ascii="Courier New" w:hAnsi="Courier New" w:cs="Courier New" w:hint="default"/>
      </w:rPr>
    </w:lvl>
    <w:lvl w:ilvl="5" w:tplc="F58CAC38" w:tentative="1">
      <w:start w:val="1"/>
      <w:numFmt w:val="bullet"/>
      <w:lvlText w:val=""/>
      <w:lvlJc w:val="left"/>
      <w:pPr>
        <w:ind w:left="5040" w:hanging="360"/>
      </w:pPr>
      <w:rPr>
        <w:rFonts w:ascii="Wingdings" w:hAnsi="Wingdings" w:hint="default"/>
      </w:rPr>
    </w:lvl>
    <w:lvl w:ilvl="6" w:tplc="6A944562" w:tentative="1">
      <w:start w:val="1"/>
      <w:numFmt w:val="bullet"/>
      <w:lvlText w:val=""/>
      <w:lvlJc w:val="left"/>
      <w:pPr>
        <w:ind w:left="5760" w:hanging="360"/>
      </w:pPr>
      <w:rPr>
        <w:rFonts w:ascii="Symbol" w:hAnsi="Symbol" w:hint="default"/>
      </w:rPr>
    </w:lvl>
    <w:lvl w:ilvl="7" w:tplc="2DFC7720" w:tentative="1">
      <w:start w:val="1"/>
      <w:numFmt w:val="bullet"/>
      <w:lvlText w:val="o"/>
      <w:lvlJc w:val="left"/>
      <w:pPr>
        <w:ind w:left="6480" w:hanging="360"/>
      </w:pPr>
      <w:rPr>
        <w:rFonts w:ascii="Courier New" w:hAnsi="Courier New" w:cs="Courier New" w:hint="default"/>
      </w:rPr>
    </w:lvl>
    <w:lvl w:ilvl="8" w:tplc="81B806E4"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51"/>
    <w:rsid w:val="00320782"/>
    <w:rsid w:val="003A55C0"/>
    <w:rsid w:val="00580299"/>
    <w:rsid w:val="006318A2"/>
    <w:rsid w:val="007D1004"/>
    <w:rsid w:val="009D655C"/>
    <w:rsid w:val="00C2092E"/>
    <w:rsid w:val="00C914EF"/>
    <w:rsid w:val="00E21B51"/>
    <w:rsid w:val="00F952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semiHidden/>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semiHidden/>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2117</Words>
  <Characters>12069</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Michael Mays</cp:lastModifiedBy>
  <cp:revision>2</cp:revision>
  <dcterms:created xsi:type="dcterms:W3CDTF">2017-10-08T21:26:00Z</dcterms:created>
  <dcterms:modified xsi:type="dcterms:W3CDTF">2017-10-08T21:26:00Z</dcterms:modified>
</cp:coreProperties>
</file>